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重庆市第七人民医院注射泵（单通道、双通道）项目</w:t>
      </w:r>
      <w:r>
        <w:rPr>
          <w:rFonts w:hint="eastAsia" w:ascii="宋体" w:hAnsi="宋体" w:eastAsia="宋体" w:cs="宋体"/>
          <w:sz w:val="43"/>
          <w:szCs w:val="43"/>
          <w:lang w:val="en-US" w:eastAsia="zh-CN"/>
        </w:rPr>
        <w:t>第二次</w:t>
      </w:r>
      <w:r>
        <w:rPr>
          <w:rFonts w:hint="eastAsia" w:ascii="宋体" w:hAnsi="宋体" w:eastAsia="宋体" w:cs="宋体"/>
          <w:sz w:val="43"/>
          <w:szCs w:val="43"/>
        </w:rPr>
        <w:t>询价通知书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现就“重庆市第七人民医院注射泵（单通道、双通道）”作如下补遗：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十一页第九条“成交供应商的确定”中第二条“若成交人无故放弃成交资格，由此而产生的经济损失、经济责任和一切后果由成交人承担。排名其后第一位的响应人报价不高于原成交供应商5%的，可以确定其为成交人；否则应重新组织采购。”更改为“若成交供应商无故放弃成交资格，保证金不予退还，由此而产生的经济损失、经济责任和一切后果由成交供应商承担。成交供应商放弃成交资格后，可将排名其后第一位的供应商确定为成交供应商；也可重新组织采购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C3B4BCD"/>
    <w:rsid w:val="1FFA53B2"/>
    <w:rsid w:val="3172735C"/>
    <w:rsid w:val="5DE42B18"/>
    <w:rsid w:val="60B42D07"/>
    <w:rsid w:val="6414679C"/>
    <w:rsid w:val="6D6312B9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2021-10-27T06:59:21Z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