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D8" w:rsidRDefault="00D019CC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重庆市第七人民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医院</w:t>
      </w:r>
    </w:p>
    <w:p w:rsidR="00591DD8" w:rsidRDefault="00D019CC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2019年住院医师规范化培训招生简章</w:t>
      </w:r>
    </w:p>
    <w:p w:rsidR="00591DD8" w:rsidRDefault="00591DD8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91DD8" w:rsidRDefault="00D019CC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重庆市第七人民医院作为市级住院医师规范化培训基地，承担相应住院医师规范化培训工作任务。根据重庆市卫生健康委员会工作安排，现将医院2019年住院医师规范化培训招生事宜公布如下：</w:t>
      </w:r>
    </w:p>
    <w:p w:rsidR="00591DD8" w:rsidRDefault="00D019CC">
      <w:pPr>
        <w:widowControl/>
        <w:tabs>
          <w:tab w:val="left" w:pos="1365"/>
        </w:tabs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一、培训目的</w:t>
      </w:r>
    </w:p>
    <w:p w:rsidR="00591DD8" w:rsidRDefault="00D019CC">
      <w:pPr>
        <w:widowControl/>
        <w:ind w:firstLine="645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经过严格规范的临床实践训练，培养具有高尚医德、较强的临床思维能力和系统的专业知识，较熟练掌握本学科基本临床技能，能独立处理本学科常见病及某些疑难病症的临床住院医师。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二、培训时间及内容</w:t>
      </w:r>
    </w:p>
    <w:p w:rsidR="00591DD8" w:rsidRDefault="00D019CC">
      <w:pPr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（一）培训时间。</w:t>
      </w:r>
    </w:p>
    <w:p w:rsidR="00591DD8" w:rsidRDefault="00D019CC">
      <w:pPr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本科生、学术型学位硕士研究生、学术型学位博士研究生3年，专业型学位硕士研究生2年、专业型学位博士研究生1年。</w:t>
      </w:r>
    </w:p>
    <w:p w:rsidR="00591DD8" w:rsidRDefault="00D019CC">
      <w:pPr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（二）培训内容。</w:t>
      </w:r>
    </w:p>
    <w:p w:rsidR="00591DD8" w:rsidRDefault="00D019CC">
      <w:pPr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照原国家卫生计生委《住院医师规范化培训内容与标准（试行）》相应专业培训大纲规定和要求，采取理论学习与临床实践相结合，以临床实践为主的方式，对学员进行规范化培训。注重培养学员职业道德、医学人文、临床技能、专业外语及科研能力，并为学员开设公共平台课等。</w:t>
      </w:r>
    </w:p>
    <w:p w:rsidR="00591DD8" w:rsidRDefault="00D019CC">
      <w:pPr>
        <w:widowControl/>
        <w:tabs>
          <w:tab w:val="left" w:pos="1365"/>
        </w:tabs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lastRenderedPageBreak/>
        <w:t>三、招考对象和条件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（一）拟从事临床医疗工作的高等院校医学类专业（指临床医学类、口腔医学类）全日制本科及以上学历毕业生。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（二）已从事临床医疗工作，并取得执业医师资格证书，但未取得中级及以上职称，需要接受培训的人员。</w:t>
      </w:r>
    </w:p>
    <w:p w:rsidR="00591DD8" w:rsidRDefault="00D019CC">
      <w:pPr>
        <w:pStyle w:val="a5"/>
        <w:widowControl w:val="0"/>
        <w:spacing w:before="0" w:beforeAutospacing="0" w:after="0" w:afterAutospacing="0" w:line="594" w:lineRule="exact"/>
        <w:ind w:firstLineChars="200" w:firstLine="640"/>
        <w:rPr>
          <w:rFonts w:ascii="方正黑体_GBK" w:eastAsia="方正黑体_GBK" w:hAnsi="Times New Roman" w:cs="Times New Roman"/>
          <w:color w:val="auto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auto"/>
          <w:sz w:val="32"/>
          <w:szCs w:val="32"/>
        </w:rPr>
        <w:t>四、</w:t>
      </w:r>
      <w:r>
        <w:rPr>
          <w:rFonts w:ascii="方正黑体_GBK" w:eastAsia="方正黑体_GBK" w:hAnsi="Times New Roman" w:cs="Times New Roman" w:hint="eastAsia"/>
          <w:color w:val="auto"/>
          <w:kern w:val="2"/>
          <w:sz w:val="32"/>
          <w:szCs w:val="32"/>
        </w:rPr>
        <w:t>招考专业及名额</w:t>
      </w:r>
    </w:p>
    <w:p w:rsidR="00591DD8" w:rsidRDefault="00D019CC">
      <w:pPr>
        <w:pStyle w:val="a5"/>
        <w:widowControl w:val="0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方正仿宋_GBK" w:cs="方正仿宋_GBK"/>
          <w:color w:val="auto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</w:rPr>
        <w:t>医院拟面向全国招收全科住院医师规范化培训学员1名。</w:t>
      </w:r>
    </w:p>
    <w:p w:rsidR="00591DD8" w:rsidRDefault="00D019CC">
      <w:pPr>
        <w:widowControl/>
        <w:tabs>
          <w:tab w:val="left" w:pos="1365"/>
        </w:tabs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五、报名时间和要求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（一）报考路径。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请报考人员登录《重庆医药卫生人才网—人才培训中心—重庆市住院医师、护士规范化培训专区》（http://cqwsrc.com/webSite/RCPXZX/ZY/）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（二）路径流程。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注册获取用户名及密码，并填写个人信息、报考志愿，提交个人资料，等待报名资格审核。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（三）报名时间。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7月8日-7月17日，报名截止时间为7月17日18：00。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（四）提交照片。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请报考人员在填报信息时上传个人电子照片、身份证、毕业证、学位证、执业医师资格证等证件照片。境外学历需提供教育部出具的海外学历认证。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lastRenderedPageBreak/>
        <w:t>六、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招考流程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网上报名→资格审查→基地面试→择优录取→调剂录取→公布结果→领取录取通知书→档案托管→基地报到。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七、体检</w:t>
      </w:r>
    </w:p>
    <w:p w:rsidR="00591DD8" w:rsidRDefault="00D019CC">
      <w:pPr>
        <w:tabs>
          <w:tab w:val="left" w:pos="3360"/>
        </w:tabs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体检参照重庆市住院医师护士规范化培训事务管理办公室下发的《重庆市住院医师规范化培训入学体检标准》，并结合本专业或岗位实际需求条件组织实施。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八、联系人及联系方式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重庆市第七人民医院科教科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联系电话：023-62861152  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联系人：李晓、姜显豪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地址：重庆市巴南区李家沱街道工联一村1号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九、相关待遇</w:t>
      </w:r>
    </w:p>
    <w:p w:rsidR="00591DD8" w:rsidRDefault="00D019CC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学员与医院签订培训协议，医院以发放中央财政补助的三分之二、市财政补助全额（共计2500元/月）作为生活补助。按相关规定为学员购买养老、医疗、失业、生育、工伤等社会保险。每月发放基本工资，另外发放伙食费、夜班费等相关补助，并免费提供住宿。</w:t>
      </w:r>
    </w:p>
    <w:p w:rsidR="00591DD8" w:rsidRDefault="00D019CC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2.社会人学员档案须由重庆市卫生人才交流中心代管。</w:t>
      </w:r>
    </w:p>
    <w:p w:rsidR="00591DD8" w:rsidRDefault="00D019CC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3.单位积极协助培训学员参加执业医师资格考试报名，并办理执业医师注册手续。</w:t>
      </w:r>
    </w:p>
    <w:p w:rsidR="00591DD8" w:rsidRDefault="00D019CC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4.培训结束后，推荐学员自主择业，医院将根据相关科室需求遴选招聘部份优秀住院医师留院工作。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十、医院简介</w:t>
      </w:r>
    </w:p>
    <w:p w:rsidR="00591DD8" w:rsidRDefault="00D019CC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重庆市第七人民医院建院于1949年，前身为国民政府内政部第二警察总队医院，1955年迁至李家沱与四厂工人医院合并更名为重庆市第三工人医院，1984年定名为重庆市第七人民医院。医院是一所集医疗、教学、科研、预防保健为一体的国家二级甲等综合医院。医院占地60余亩，濒临长江，绿树成荫，鸟语花香，是园林式单位。</w:t>
      </w:r>
    </w:p>
    <w:p w:rsidR="00591DD8" w:rsidRDefault="00D019CC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医院设施设备完善,拥有数字减影血管造影（Digital substraction angiography，DSA）、磁共振、螺旋CT、DR机、电子胃肠镜、四维彩超、钬激光、前列腺等离子电切镜、腹腔镜、全自动生化分析仪等一大批成套的现代化诊疗设备。</w:t>
      </w:r>
    </w:p>
    <w:p w:rsidR="00591DD8" w:rsidRDefault="00D019CC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医院人才队伍不断壮大，现有在岗员工700余人，其中高级职称70余人，硕士博士研究生60余人，博士5人。医院先后派出多位学科带头人在北京301医院、四川华西医院、北京积水潭医院等全国知名医院进修深造。近年来，申报区级科研30项、申报市级科研6项、申报国家级自然科学基金项目1项,设有医学动物实验室，2012年我院成为重庆市全科医师规范化培训基地，2016年成功创建重庆医科大学教学医院，教学科研工作稳步前行。</w:t>
      </w:r>
    </w:p>
    <w:p w:rsidR="00591DD8" w:rsidRDefault="00D019CC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医院科室设置齐全，设有临床医技等30余个科室。其中消化内科、检验科、医学影像科为巴南区质量控制中心；心血管内科、消化内科、烧伤科、麻醉科为巴南区重点专科；烧伤科为重庆市特色专科，因烧伤专业特色突出，2011年我院成为中华少年儿童慈善救助基金会天使妈妈基金在西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南地区唯一定点医院。目前医院广泛开展微创手术、介入治疗、内镜诊治、显微手术等技术，个别学科在西南地区具有影响力，部分学科在重庆市具有竞争力，过半的学科在巴南区具有引领力。</w:t>
      </w:r>
    </w:p>
    <w:p w:rsidR="00591DD8" w:rsidRDefault="00D019CC">
      <w:pPr>
        <w:widowControl/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全院员工认真践行“全心全意为人民健康服务”的医院核心价值观，遵循“厚德致和、精医致远”的院训，做到服务温馨热情、医疗技术精湛、检查用药合理、治疗收费规范，竭尽全力为广大百姓提供优质、安全、高效的医疗服务，彰显公立、非营利性医院的核心价值观，为巴南及周边地区百姓的生命健康保驾护航。</w:t>
      </w:r>
    </w:p>
    <w:p w:rsidR="00591DD8" w:rsidRDefault="00D019CC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地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址: 重庆市巴南区工联一村1号（住院部）</w:t>
      </w:r>
    </w:p>
    <w:p w:rsidR="00591DD8" w:rsidRDefault="00D019CC">
      <w:pPr>
        <w:widowControl/>
        <w:spacing w:line="56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 重庆市巴南区马王坪正街14号（门诊部）</w:t>
      </w:r>
    </w:p>
    <w:p w:rsidR="00591DD8" w:rsidRDefault="00D019CC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网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址：www.cq7y.com</w:t>
      </w:r>
    </w:p>
    <w:p w:rsidR="00591DD8" w:rsidRDefault="00D019CC">
      <w:pPr>
        <w:widowControl/>
        <w:tabs>
          <w:tab w:val="left" w:pos="1365"/>
        </w:tabs>
        <w:ind w:left="1365" w:hanging="720"/>
        <w:jc w:val="lef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 xml:space="preserve">     </w:t>
      </w:r>
    </w:p>
    <w:p w:rsidR="00591DD8" w:rsidRDefault="00591DD8">
      <w:pPr>
        <w:spacing w:line="52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bookmarkStart w:id="0" w:name="_GoBack"/>
      <w:bookmarkEnd w:id="0"/>
    </w:p>
    <w:sectPr w:rsidR="0059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2A" w:rsidRDefault="0087342A" w:rsidP="001123BE">
      <w:r>
        <w:separator/>
      </w:r>
    </w:p>
  </w:endnote>
  <w:endnote w:type="continuationSeparator" w:id="0">
    <w:p w:rsidR="0087342A" w:rsidRDefault="0087342A" w:rsidP="0011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2A" w:rsidRDefault="0087342A" w:rsidP="001123BE">
      <w:r>
        <w:separator/>
      </w:r>
    </w:p>
  </w:footnote>
  <w:footnote w:type="continuationSeparator" w:id="0">
    <w:p w:rsidR="0087342A" w:rsidRDefault="0087342A" w:rsidP="0011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2C"/>
    <w:rsid w:val="0002516E"/>
    <w:rsid w:val="0005002E"/>
    <w:rsid w:val="00054D2C"/>
    <w:rsid w:val="00066FE8"/>
    <w:rsid w:val="00083F4A"/>
    <w:rsid w:val="00092700"/>
    <w:rsid w:val="000949D8"/>
    <w:rsid w:val="000A1D12"/>
    <w:rsid w:val="000D313C"/>
    <w:rsid w:val="001068A0"/>
    <w:rsid w:val="001069F2"/>
    <w:rsid w:val="001123BE"/>
    <w:rsid w:val="00115EA2"/>
    <w:rsid w:val="001576DD"/>
    <w:rsid w:val="00161DAA"/>
    <w:rsid w:val="0018207C"/>
    <w:rsid w:val="00185AE1"/>
    <w:rsid w:val="00197DB8"/>
    <w:rsid w:val="001A0AE0"/>
    <w:rsid w:val="001C76DA"/>
    <w:rsid w:val="001D29F8"/>
    <w:rsid w:val="001D34DB"/>
    <w:rsid w:val="001E053F"/>
    <w:rsid w:val="00224B76"/>
    <w:rsid w:val="002334F1"/>
    <w:rsid w:val="00235B06"/>
    <w:rsid w:val="00235CAE"/>
    <w:rsid w:val="00252FAA"/>
    <w:rsid w:val="00253C06"/>
    <w:rsid w:val="00281F83"/>
    <w:rsid w:val="0029389B"/>
    <w:rsid w:val="003134B4"/>
    <w:rsid w:val="003264DB"/>
    <w:rsid w:val="003709C7"/>
    <w:rsid w:val="00430D86"/>
    <w:rsid w:val="00433E43"/>
    <w:rsid w:val="00472458"/>
    <w:rsid w:val="00480E7C"/>
    <w:rsid w:val="004838E9"/>
    <w:rsid w:val="004918B3"/>
    <w:rsid w:val="004938C0"/>
    <w:rsid w:val="004A20CD"/>
    <w:rsid w:val="004D5847"/>
    <w:rsid w:val="004E0384"/>
    <w:rsid w:val="004F225B"/>
    <w:rsid w:val="00557E60"/>
    <w:rsid w:val="00574797"/>
    <w:rsid w:val="00591DD8"/>
    <w:rsid w:val="005A6488"/>
    <w:rsid w:val="005C4040"/>
    <w:rsid w:val="005E2900"/>
    <w:rsid w:val="005E2C7A"/>
    <w:rsid w:val="00653B1F"/>
    <w:rsid w:val="006C4D19"/>
    <w:rsid w:val="006C745F"/>
    <w:rsid w:val="0070034C"/>
    <w:rsid w:val="00700D81"/>
    <w:rsid w:val="00713414"/>
    <w:rsid w:val="00730174"/>
    <w:rsid w:val="00730A54"/>
    <w:rsid w:val="00745779"/>
    <w:rsid w:val="007A1CE7"/>
    <w:rsid w:val="007F1FB9"/>
    <w:rsid w:val="00830889"/>
    <w:rsid w:val="00830E47"/>
    <w:rsid w:val="0086457F"/>
    <w:rsid w:val="0087342A"/>
    <w:rsid w:val="00892499"/>
    <w:rsid w:val="008D6542"/>
    <w:rsid w:val="00977BB8"/>
    <w:rsid w:val="0098685C"/>
    <w:rsid w:val="009C1B69"/>
    <w:rsid w:val="009C2654"/>
    <w:rsid w:val="00A064FE"/>
    <w:rsid w:val="00A15E72"/>
    <w:rsid w:val="00A24B75"/>
    <w:rsid w:val="00A340DB"/>
    <w:rsid w:val="00A35253"/>
    <w:rsid w:val="00A54951"/>
    <w:rsid w:val="00A840CE"/>
    <w:rsid w:val="00AF59BF"/>
    <w:rsid w:val="00B144F5"/>
    <w:rsid w:val="00B20049"/>
    <w:rsid w:val="00B20825"/>
    <w:rsid w:val="00B71CD3"/>
    <w:rsid w:val="00B82FC2"/>
    <w:rsid w:val="00BA47E8"/>
    <w:rsid w:val="00BD5BD4"/>
    <w:rsid w:val="00BD78AF"/>
    <w:rsid w:val="00BF02DD"/>
    <w:rsid w:val="00C02158"/>
    <w:rsid w:val="00C03FCB"/>
    <w:rsid w:val="00C37120"/>
    <w:rsid w:val="00CF063C"/>
    <w:rsid w:val="00D019CC"/>
    <w:rsid w:val="00D12463"/>
    <w:rsid w:val="00D16535"/>
    <w:rsid w:val="00D5136C"/>
    <w:rsid w:val="00D701D5"/>
    <w:rsid w:val="00D7456A"/>
    <w:rsid w:val="00D77023"/>
    <w:rsid w:val="00D909CA"/>
    <w:rsid w:val="00DA54DB"/>
    <w:rsid w:val="00DC159D"/>
    <w:rsid w:val="00DC5687"/>
    <w:rsid w:val="00E26D6A"/>
    <w:rsid w:val="00E525BB"/>
    <w:rsid w:val="00E748A4"/>
    <w:rsid w:val="00F16C7D"/>
    <w:rsid w:val="00F6445A"/>
    <w:rsid w:val="00F6498D"/>
    <w:rsid w:val="00F66DB0"/>
    <w:rsid w:val="00F71DE0"/>
    <w:rsid w:val="00FA4E47"/>
    <w:rsid w:val="00FA67A7"/>
    <w:rsid w:val="00FB7CCD"/>
    <w:rsid w:val="00FC5517"/>
    <w:rsid w:val="00FD06FC"/>
    <w:rsid w:val="02E55CDC"/>
    <w:rsid w:val="03E7093F"/>
    <w:rsid w:val="04FD276F"/>
    <w:rsid w:val="05BE581F"/>
    <w:rsid w:val="06D11E11"/>
    <w:rsid w:val="081F2303"/>
    <w:rsid w:val="160F4351"/>
    <w:rsid w:val="2CD52666"/>
    <w:rsid w:val="3245057E"/>
    <w:rsid w:val="3944539E"/>
    <w:rsid w:val="4CB47EF5"/>
    <w:rsid w:val="519E6C25"/>
    <w:rsid w:val="616B313C"/>
    <w:rsid w:val="79B34DBD"/>
    <w:rsid w:val="7FE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03F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3F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03F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3F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34B01-1C42-4C8C-B709-881F039D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328</Words>
  <Characters>1873</Characters>
  <Application>Microsoft Office Word</Application>
  <DocSecurity>0</DocSecurity>
  <Lines>15</Lines>
  <Paragraphs>4</Paragraphs>
  <ScaleCrop>false</ScaleCrop>
  <Company>Sky123.Org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黎晶</dc:creator>
  <cp:lastModifiedBy>微软用户</cp:lastModifiedBy>
  <cp:revision>3</cp:revision>
  <cp:lastPrinted>2019-07-03T02:28:00Z</cp:lastPrinted>
  <dcterms:created xsi:type="dcterms:W3CDTF">2019-07-05T08:51:00Z</dcterms:created>
  <dcterms:modified xsi:type="dcterms:W3CDTF">2019-07-05T09:28:00Z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