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重庆市第七人民医院</w:t>
      </w:r>
    </w:p>
    <w:p>
      <w:pPr>
        <w:spacing w:line="560" w:lineRule="exact"/>
        <w:jc w:val="center"/>
        <w:rPr>
          <w:rFonts w:ascii="Calibri" w:hAnsi="Calibri" w:eastAsia="宋体" w:cs="Times New Roman"/>
          <w:sz w:val="32"/>
          <w:szCs w:val="32"/>
        </w:rPr>
      </w:pPr>
      <w:r>
        <w:rPr>
          <w:rFonts w:hint="eastAsia" w:ascii="方正小标宋简体" w:hAnsi="Calibri" w:eastAsia="方正小标宋简体" w:cs="Times New Roman"/>
          <w:sz w:val="44"/>
          <w:szCs w:val="44"/>
          <w:lang w:val="en-US" w:eastAsia="zh-CN"/>
        </w:rPr>
        <w:t>医保移动支付改造</w:t>
      </w:r>
      <w:r>
        <w:rPr>
          <w:rFonts w:hint="eastAsia" w:ascii="方正小标宋简体" w:hAnsi="Calibri" w:eastAsia="方正小标宋简体" w:cs="Times New Roman"/>
          <w:sz w:val="44"/>
          <w:szCs w:val="44"/>
        </w:rPr>
        <w:t>调研</w:t>
      </w:r>
      <w:r>
        <w:rPr>
          <w:rFonts w:hint="eastAsia" w:ascii="方正小标宋简体" w:hAnsi="Calibri" w:eastAsia="方正小标宋简体" w:cs="Times New Roman"/>
          <w:sz w:val="44"/>
          <w:szCs w:val="44"/>
          <w:lang w:val="en-US" w:eastAsia="zh-CN"/>
        </w:rPr>
        <w:t>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各潜在供应商：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我院拟购买</w:t>
      </w:r>
      <w:r>
        <w:rPr>
          <w:rFonts w:hint="eastAsia" w:ascii="方正仿宋_GBK" w:hAnsi="方正仿宋_GBK" w:eastAsia="方正仿宋_GBK" w:cs="方正仿宋_GBK"/>
          <w:sz w:val="32"/>
          <w:szCs w:val="32"/>
          <w:lang w:val="en-US" w:eastAsia="zh-CN"/>
        </w:rPr>
        <w:t>医保移动支付改造，采用</w:t>
      </w:r>
      <w:r>
        <w:rPr>
          <w:rFonts w:hint="eastAsia" w:ascii="方正仿宋_GBK" w:hAnsi="方正仿宋_GBK" w:eastAsia="方正仿宋_GBK" w:cs="方正仿宋_GBK"/>
          <w:b/>
          <w:bCs/>
          <w:sz w:val="32"/>
          <w:szCs w:val="32"/>
          <w:lang w:val="en-US" w:eastAsia="zh-CN"/>
        </w:rPr>
        <w:t>总价包干</w:t>
      </w:r>
      <w:r>
        <w:rPr>
          <w:rFonts w:hint="eastAsia" w:ascii="方正仿宋_GBK" w:hAnsi="方正仿宋_GBK" w:eastAsia="方正仿宋_GBK" w:cs="方正仿宋_GBK"/>
          <w:sz w:val="32"/>
          <w:szCs w:val="32"/>
          <w:lang w:val="en-US" w:eastAsia="zh-CN"/>
        </w:rPr>
        <w:t>的方式，最高限价为￥3万元（大写：叁万元整），本次报价须为人民币报价，包含：</w:t>
      </w:r>
      <w:r>
        <w:rPr>
          <w:rFonts w:hint="eastAsia" w:ascii="方正仿宋_GBK" w:hAnsi="方正仿宋_GBK" w:eastAsia="方正仿宋_GBK" w:cs="方正仿宋_GBK"/>
          <w:b/>
          <w:bCs/>
          <w:sz w:val="32"/>
          <w:szCs w:val="32"/>
          <w:lang w:val="en-US" w:eastAsia="zh-CN"/>
        </w:rPr>
        <w:t>实施本项目所需对接第三方接口费用</w:t>
      </w:r>
      <w:r>
        <w:rPr>
          <w:rFonts w:hint="eastAsia" w:ascii="方正仿宋_GBK" w:hAnsi="方正仿宋_GBK" w:eastAsia="方正仿宋_GBK" w:cs="方正仿宋_GBK"/>
          <w:sz w:val="32"/>
          <w:szCs w:val="32"/>
          <w:lang w:val="en-US" w:eastAsia="zh-CN"/>
        </w:rPr>
        <w:t>、产品基价、税费（含关税）、差旅费、安装调试、站点、端口授权、硬件对接</w:t>
      </w:r>
      <w:r>
        <w:rPr>
          <w:rFonts w:hint="eastAsia" w:ascii="方正仿宋_GBK" w:hAnsi="方正仿宋_GBK" w:eastAsia="方正仿宋_GBK" w:cs="方正仿宋_GBK"/>
          <w:b/>
          <w:bCs/>
          <w:sz w:val="32"/>
          <w:szCs w:val="32"/>
          <w:lang w:val="en-US" w:eastAsia="zh-CN"/>
        </w:rPr>
        <w:t>等一切与此项目有关的所有费用，各站点使用数量不限</w:t>
      </w:r>
      <w:r>
        <w:rPr>
          <w:rFonts w:hint="eastAsia" w:ascii="方正仿宋_GBK" w:hAnsi="方正仿宋_GBK" w:eastAsia="方正仿宋_GBK" w:cs="方正仿宋_GBK"/>
          <w:sz w:val="32"/>
          <w:szCs w:val="32"/>
          <w:lang w:val="en-US" w:eastAsia="zh-CN"/>
        </w:rPr>
        <w:t>。相关情况如下：</w:t>
      </w:r>
    </w:p>
    <w:p>
      <w:pPr>
        <w:numPr>
          <w:ilvl w:val="0"/>
          <w:numId w:val="1"/>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采购需求</w:t>
      </w:r>
    </w:p>
    <w:p>
      <w:pPr>
        <w:numPr>
          <w:ilvl w:val="0"/>
          <w:numId w:val="2"/>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技术参数</w:t>
      </w:r>
    </w:p>
    <w:tbl>
      <w:tblPr>
        <w:tblStyle w:val="6"/>
        <w:tblpPr w:leftFromText="180" w:rightFromText="180" w:vertAnchor="text" w:horzAnchor="margin" w:tblpXSpec="center" w:tblpY="742"/>
        <w:tblW w:w="10065" w:type="dxa"/>
        <w:jc w:val="center"/>
        <w:tblLayout w:type="fixed"/>
        <w:tblCellMar>
          <w:top w:w="0" w:type="dxa"/>
          <w:left w:w="108" w:type="dxa"/>
          <w:bottom w:w="0" w:type="dxa"/>
          <w:right w:w="108" w:type="dxa"/>
        </w:tblCellMar>
      </w:tblPr>
      <w:tblGrid>
        <w:gridCol w:w="645"/>
        <w:gridCol w:w="1725"/>
        <w:gridCol w:w="7695"/>
      </w:tblGrid>
      <w:tr>
        <w:tblPrEx>
          <w:tblCellMar>
            <w:top w:w="0" w:type="dxa"/>
            <w:left w:w="108" w:type="dxa"/>
            <w:bottom w:w="0" w:type="dxa"/>
            <w:right w:w="108" w:type="dxa"/>
          </w:tblCellMar>
        </w:tblPrEx>
        <w:trPr>
          <w:trHeight w:val="0" w:hRule="atLeast"/>
          <w:jc w:val="center"/>
        </w:trPr>
        <w:tc>
          <w:tcPr>
            <w:tcW w:w="64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keepLines w:val="0"/>
              <w:pageBreakBefore w:val="0"/>
              <w:tabs>
                <w:tab w:val="left" w:pos="2960"/>
              </w:tabs>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宋体" w:cs="Times New Roman"/>
                <w:kern w:val="2"/>
                <w:sz w:val="21"/>
                <w:szCs w:val="24"/>
                <w:lang w:val="en-US" w:eastAsia="zh-CN" w:bidi="ar-SA"/>
              </w:rPr>
              <w:tab/>
            </w:r>
            <w:r>
              <w:rPr>
                <w:rFonts w:hint="default" w:ascii="Times New Roman" w:hAnsi="Times New Roman" w:eastAsia="宋体" w:cs="Times New Roman"/>
                <w:lang w:eastAsia="zh-CN"/>
              </w:rPr>
              <w:tab/>
            </w:r>
          </w:p>
        </w:tc>
        <w:tc>
          <w:tcPr>
            <w:tcW w:w="9420" w:type="dxa"/>
            <w:gridSpan w:val="2"/>
            <w:tcBorders>
              <w:top w:val="single" w:color="auto" w:sz="4" w:space="0"/>
              <w:left w:val="nil"/>
              <w:bottom w:val="single" w:color="auto" w:sz="4" w:space="0"/>
              <w:right w:val="single" w:color="auto" w:sz="4" w:space="0"/>
            </w:tcBorders>
            <w:shd w:val="clear" w:color="000000" w:fill="E7E6E6"/>
            <w:noWrap/>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医保移动支付系统</w:t>
            </w:r>
          </w:p>
        </w:tc>
      </w:tr>
      <w:tr>
        <w:tblPrEx>
          <w:tblCellMar>
            <w:top w:w="0" w:type="dxa"/>
            <w:left w:w="108" w:type="dxa"/>
            <w:bottom w:w="0" w:type="dxa"/>
            <w:right w:w="108" w:type="dxa"/>
          </w:tblCellMar>
        </w:tblPrEx>
        <w:trPr>
          <w:trHeight w:val="0" w:hRule="atLeast"/>
          <w:jc w:val="center"/>
        </w:trPr>
        <w:tc>
          <w:tcPr>
            <w:tcW w:w="645" w:type="dxa"/>
            <w:tcBorders>
              <w:top w:val="nil"/>
              <w:left w:val="single" w:color="auto" w:sz="4" w:space="0"/>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1.1</w:t>
            </w:r>
          </w:p>
        </w:tc>
        <w:tc>
          <w:tcPr>
            <w:tcW w:w="172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医保基础系统</w:t>
            </w:r>
          </w:p>
        </w:tc>
        <w:tc>
          <w:tcPr>
            <w:tcW w:w="769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医保基础配置：</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1）提供医保核心系统及医保移动支付系统配置及接口管理；</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2）提供微信、支付宝、医保APP端医保移动应用管理；</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3）支持不同医保移动应用分别开启测试，灰度应用以及正式启用；</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4）提供HIS及互联网医院等医院收费业务系统接口及配置管理。</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医保实名建档：</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1）提供医保实名认证能力；</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2）提供实名建档服务。</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医保支付授权：支持参保人线上移动支付授权。</w:t>
            </w:r>
          </w:p>
        </w:tc>
      </w:tr>
      <w:tr>
        <w:tblPrEx>
          <w:tblCellMar>
            <w:top w:w="0" w:type="dxa"/>
            <w:left w:w="108" w:type="dxa"/>
            <w:bottom w:w="0" w:type="dxa"/>
            <w:right w:w="108" w:type="dxa"/>
          </w:tblCellMar>
        </w:tblPrEx>
        <w:trPr>
          <w:trHeight w:val="0" w:hRule="atLeast"/>
          <w:jc w:val="center"/>
        </w:trPr>
        <w:tc>
          <w:tcPr>
            <w:tcW w:w="645" w:type="dxa"/>
            <w:tcBorders>
              <w:top w:val="nil"/>
              <w:left w:val="single" w:color="auto" w:sz="4" w:space="0"/>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1.2</w:t>
            </w:r>
          </w:p>
        </w:tc>
        <w:tc>
          <w:tcPr>
            <w:tcW w:w="172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医保移动支付服务</w:t>
            </w:r>
          </w:p>
        </w:tc>
        <w:tc>
          <w:tcPr>
            <w:tcW w:w="769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医保在线支付结算：</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1）支持医院微信公众号接入医保移动支付功能，提供预约挂号、线上缴费、处方单扫码支付的医保结算能力；</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2）支持医院支付宝小程序接入医保移动支付功能，提供预约挂号</w:t>
            </w:r>
            <w:r>
              <w:rPr>
                <w:rFonts w:hint="default" w:ascii="Times New Roman" w:hAnsi="Times New Roman" w:eastAsia="仿宋" w:cs="Times New Roman"/>
                <w:color w:val="000000"/>
                <w:kern w:val="0"/>
                <w:sz w:val="24"/>
                <w:szCs w:val="24"/>
                <w:lang w:eastAsia="zh-CN"/>
              </w:rPr>
              <w:t>。</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lang w:eastAsia="zh-CN"/>
              </w:rPr>
            </w:pPr>
            <w:r>
              <w:rPr>
                <w:rFonts w:hint="default" w:ascii="Times New Roman" w:hAnsi="Times New Roman" w:eastAsia="仿宋" w:cs="Times New Roman"/>
                <w:color w:val="000000"/>
                <w:kern w:val="0"/>
                <w:sz w:val="24"/>
                <w:szCs w:val="24"/>
              </w:rPr>
              <w:t>线上缴费、处方单扫码支付的医保结算能力；</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3）支持对接国家、地方医保APP，提供医保费用上传、结算的能力</w:t>
            </w:r>
            <w:r>
              <w:rPr>
                <w:rFonts w:hint="default" w:ascii="Times New Roman" w:hAnsi="Times New Roman" w:eastAsia="仿宋" w:cs="Times New Roman"/>
                <w:color w:val="000000"/>
                <w:kern w:val="0"/>
                <w:sz w:val="24"/>
                <w:szCs w:val="24"/>
                <w:lang w:eastAsia="zh-CN"/>
              </w:rPr>
              <w:t>。</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支付消息推送：</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1）支付消息推送，向参保人推送当前消费的医保和现金金额；</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2）退费消息推送，向参保人推送当前返回的医保和现金金额。</w:t>
            </w:r>
          </w:p>
        </w:tc>
      </w:tr>
      <w:tr>
        <w:tblPrEx>
          <w:tblCellMar>
            <w:top w:w="0" w:type="dxa"/>
            <w:left w:w="108" w:type="dxa"/>
            <w:bottom w:w="0" w:type="dxa"/>
            <w:right w:w="108" w:type="dxa"/>
          </w:tblCellMar>
        </w:tblPrEx>
        <w:trPr>
          <w:trHeight w:val="0" w:hRule="atLeast"/>
          <w:jc w:val="center"/>
        </w:trPr>
        <w:tc>
          <w:tcPr>
            <w:tcW w:w="645" w:type="dxa"/>
            <w:tcBorders>
              <w:top w:val="nil"/>
              <w:left w:val="single" w:color="auto" w:sz="4" w:space="0"/>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1.3</w:t>
            </w:r>
          </w:p>
        </w:tc>
        <w:tc>
          <w:tcPr>
            <w:tcW w:w="172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医保拓展服务</w:t>
            </w:r>
          </w:p>
        </w:tc>
        <w:tc>
          <w:tcPr>
            <w:tcW w:w="769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参保信息查询：</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1）支持参保人查询参保信息，包括医保个人信息查询、医保余额查询、医保缴费查询等。</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医保就诊明细查询：</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lang w:val="en-US" w:eastAsia="zh-CN"/>
              </w:rPr>
              <w:t>1</w:t>
            </w:r>
            <w:r>
              <w:rPr>
                <w:rFonts w:hint="default" w:ascii="Times New Roman" w:hAnsi="Times New Roman" w:eastAsia="仿宋" w:cs="Times New Roman"/>
                <w:color w:val="000000"/>
                <w:kern w:val="0"/>
                <w:sz w:val="24"/>
                <w:szCs w:val="24"/>
              </w:rPr>
              <w:t>）支持参保人查询医保就医记录，以及当次就医的结算信息。</w:t>
            </w:r>
          </w:p>
        </w:tc>
      </w:tr>
      <w:tr>
        <w:tblPrEx>
          <w:tblCellMar>
            <w:top w:w="0" w:type="dxa"/>
            <w:left w:w="108" w:type="dxa"/>
            <w:bottom w:w="0" w:type="dxa"/>
            <w:right w:w="108" w:type="dxa"/>
          </w:tblCellMar>
        </w:tblPrEx>
        <w:trPr>
          <w:trHeight w:val="0" w:hRule="atLeast"/>
          <w:jc w:val="center"/>
        </w:trPr>
        <w:tc>
          <w:tcPr>
            <w:tcW w:w="645" w:type="dxa"/>
            <w:tcBorders>
              <w:top w:val="nil"/>
              <w:left w:val="single" w:color="auto" w:sz="4" w:space="0"/>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1.4</w:t>
            </w:r>
          </w:p>
        </w:tc>
        <w:tc>
          <w:tcPr>
            <w:tcW w:w="172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医保运行支撑</w:t>
            </w:r>
          </w:p>
        </w:tc>
        <w:tc>
          <w:tcPr>
            <w:tcW w:w="7695" w:type="dxa"/>
            <w:tcBorders>
              <w:top w:val="nil"/>
              <w:left w:val="nil"/>
              <w:bottom w:val="single" w:color="auto" w:sz="4" w:space="0"/>
              <w:right w:val="single" w:color="auto" w:sz="4" w:space="0"/>
            </w:tcBorders>
            <w:shd w:val="clear" w:color="000000" w:fill="FFFFFF"/>
            <w:noWrap w:val="0"/>
            <w:vAlign w:val="center"/>
          </w:tcPr>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服务运行监测：</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1）实时监测医保在线交易中的数据、发现问题并报警；</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2）交易日志，完整记录各类交易日志，便于发现和分析问题。</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交易订单管理：</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1）订单管理，支持查询医保订单的交易状态，方便分析交易中的问题，提供单边账冲正功能；</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2）退单管理，支持查询医保退单的交易状态，方便分析退费中的问题。</w:t>
            </w:r>
          </w:p>
          <w:p>
            <w:pPr>
              <w:keepLines w:val="0"/>
              <w:pageBreakBefore w:val="0"/>
              <w:widowControl/>
              <w:kinsoku/>
              <w:wordWrap/>
              <w:overflowPunct/>
              <w:topLinePunct w:val="0"/>
              <w:autoSpaceDE/>
              <w:autoSpaceDN/>
              <w:bidi w:val="0"/>
              <w:adjustRightInd/>
              <w:snapToGrid/>
              <w:spacing w:line="280" w:lineRule="exact"/>
              <w:ind w:left="240" w:hanging="240" w:hangingChars="10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统计分析：</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1）通过内置的固定报表或定制报表可完成各类医保移动支付结算数据的统计分析；</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2）为医保对账提供必要的对账报表。</w:t>
            </w:r>
          </w:p>
        </w:tc>
      </w:tr>
    </w:tbl>
    <w:p>
      <w:pPr>
        <w:numPr>
          <w:ilvl w:val="0"/>
          <w:numId w:val="2"/>
        </w:numPr>
        <w:ind w:left="0" w:leftChars="0"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商务要求</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1.实施时间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中标人应在合同签订后15个日历日内完成部署。</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2.实施地点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重庆市第七人民医院。</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3.验收标准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 xml:space="preserve">（1）项目部署完成后，由采购方组织按国家、省相关政策与最新技术标准与技术规范进行验收。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（2）严格按照政府采购相关法律法规以及《财政部关于进一步加强政府采购需求和履约验收管理的指导意见》（财库〔2016〕205）的要求进行验收。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4.质保要求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项目验收通过后软件质保三年。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（2）</w:t>
      </w:r>
      <w:r>
        <w:rPr>
          <w:rFonts w:hint="default"/>
          <w:lang w:val="en-US" w:eastAsia="zh-CN"/>
        </w:rPr>
        <w:t>质保期内，软件故障报修的响应时间：10分钟。电话、网络指导下无法解决，24小时内到达现场进行维护；</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保证7×24小时的维护响应。特殊情况甲乙双方应尊重当时事实情况商定。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质保期内，按行业、政策等要求适时免费升级改造。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5.付款方式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验收完成后收到供应商发票后15个日历日内支付合同金额的100%（供应商垫资不计息）。</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6.知识产权</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采购人在中华人民共和国境内使用提供的服务时免受第三方提出的侵犯其专利权或其它知识产权的起诉。如果第三方提出侵权指控，应承担由此而引起的一切法律责任和费用。</w:t>
      </w:r>
    </w:p>
    <w:p>
      <w:pPr>
        <w:numPr>
          <w:ilvl w:val="0"/>
          <w:numId w:val="0"/>
        </w:num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7.其他未尽事宜由供需双方在采购合同中详细约定。</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8.采购需求咨询电话：</w:t>
      </w:r>
    </w:p>
    <w:p>
      <w:pPr>
        <w:numPr>
          <w:ilvl w:val="0"/>
          <w:numId w:val="0"/>
        </w:numPr>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信息科，李老师、邹老师 023-62859571</w:t>
      </w:r>
    </w:p>
    <w:p>
      <w:p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二、纸质资料要求</w:t>
      </w:r>
    </w:p>
    <w:p>
      <w:p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公司营业执照扫描件、符合采购人全部采购需求的服务承诺函（格式自拟）、一次性报价表、销售授权人员联系方式。所有证照须在有效期内，且加盖公司鲜章。以上资料缺一不可。</w:t>
      </w:r>
    </w:p>
    <w:p>
      <w:p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资料提交地点：重庆市第七人民医院采购工作组办公室（院内11号楼，职工食堂二楼），联系人：冯老师，电话：62852113。</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请</w:t>
      </w:r>
      <w:r>
        <w:rPr>
          <w:rFonts w:hint="eastAsia" w:ascii="方正仿宋_GBK" w:hAnsi="方正仿宋_GBK" w:eastAsia="方正仿宋_GBK" w:cs="方正仿宋_GBK"/>
          <w:sz w:val="32"/>
          <w:szCs w:val="32"/>
        </w:rPr>
        <w:t>有意向参与市场调研的供应商，请于2023年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下午16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前，将纸质资料交医院采购工作组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可邮寄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。本需求调研为采购前工作，不等同于询价采购程序。院方综合各公司所报情况执行后期采购工作。</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w:t>
      </w:r>
    </w:p>
    <w:p>
      <w:pPr>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采购工作组</w:t>
      </w:r>
    </w:p>
    <w:p>
      <w:pPr>
        <w:ind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bookmarkStart w:id="0" w:name="_GoBack"/>
      <w:bookmarkEnd w:id="0"/>
    </w:p>
    <w:p>
      <w:pPr>
        <w:rPr>
          <w:sz w:val="21"/>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6982C"/>
    <w:multiLevelType w:val="singleLevel"/>
    <w:tmpl w:val="82B6982C"/>
    <w:lvl w:ilvl="0" w:tentative="0">
      <w:start w:val="1"/>
      <w:numFmt w:val="chineseCounting"/>
      <w:suff w:val="nothing"/>
      <w:lvlText w:val="（%1）"/>
      <w:lvlJc w:val="left"/>
      <w:rPr>
        <w:rFonts w:hint="eastAsia"/>
      </w:rPr>
    </w:lvl>
  </w:abstractNum>
  <w:abstractNum w:abstractNumId="1">
    <w:nsid w:val="DA1BEB09"/>
    <w:multiLevelType w:val="singleLevel"/>
    <w:tmpl w:val="DA1BEB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7660"/>
    <w:rsid w:val="012B423A"/>
    <w:rsid w:val="01805679"/>
    <w:rsid w:val="07086C1C"/>
    <w:rsid w:val="099D4657"/>
    <w:rsid w:val="0C3E5512"/>
    <w:rsid w:val="12B40D8A"/>
    <w:rsid w:val="15EC4C7A"/>
    <w:rsid w:val="206C732A"/>
    <w:rsid w:val="20AF6CC4"/>
    <w:rsid w:val="20D23201"/>
    <w:rsid w:val="2BC162B6"/>
    <w:rsid w:val="2E5E54EA"/>
    <w:rsid w:val="2E8F51DB"/>
    <w:rsid w:val="2FEC1345"/>
    <w:rsid w:val="31DF5788"/>
    <w:rsid w:val="34933C34"/>
    <w:rsid w:val="364A2A84"/>
    <w:rsid w:val="368D2C2A"/>
    <w:rsid w:val="388126FD"/>
    <w:rsid w:val="42B05930"/>
    <w:rsid w:val="44382320"/>
    <w:rsid w:val="47A7515F"/>
    <w:rsid w:val="48014DD7"/>
    <w:rsid w:val="4AAA2223"/>
    <w:rsid w:val="4B226105"/>
    <w:rsid w:val="4BF7189D"/>
    <w:rsid w:val="4F692D37"/>
    <w:rsid w:val="51574E31"/>
    <w:rsid w:val="55F33F68"/>
    <w:rsid w:val="5C4F4629"/>
    <w:rsid w:val="5C9155BA"/>
    <w:rsid w:val="5E161CB0"/>
    <w:rsid w:val="60E8011C"/>
    <w:rsid w:val="61E80036"/>
    <w:rsid w:val="63360A7A"/>
    <w:rsid w:val="64644F0F"/>
    <w:rsid w:val="64DE3456"/>
    <w:rsid w:val="69045D2B"/>
    <w:rsid w:val="6AB32F75"/>
    <w:rsid w:val="6E6B180A"/>
    <w:rsid w:val="771633A7"/>
    <w:rsid w:val="773C3F4F"/>
    <w:rsid w:val="78C51BF7"/>
    <w:rsid w:val="7A611E2A"/>
    <w:rsid w:val="7B3B2DE7"/>
    <w:rsid w:val="7CC4533B"/>
    <w:rsid w:val="7D7A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32"/>
      <w:lang w:val="en-US" w:eastAsia="zh-CN" w:bidi="ar-SA"/>
    </w:rPr>
  </w:style>
  <w:style w:type="paragraph" w:styleId="3">
    <w:name w:val="Body Text Indent"/>
    <w:basedOn w:val="1"/>
    <w:qFormat/>
    <w:uiPriority w:val="0"/>
    <w:pPr>
      <w:widowControl w:val="0"/>
      <w:spacing w:after="120"/>
      <w:ind w:left="420" w:leftChars="200"/>
      <w:jc w:val="both"/>
    </w:pPr>
    <w:rPr>
      <w:rFonts w:ascii="Times New Roman" w:hAnsi="Times New Roman" w:eastAsia="仿宋_GB2312"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2021-08-11T06:09:00Z</dcterms:created>
  <dc:creator>Administrator</dc:creator>
  <cp:lastModifiedBy>欧钰琳</cp:lastModifiedBy>
  <cp:lastPrinted>2023-04-12T03:25:00Z</cp:lastPrinted>
  <dcterms:modified xsi:type="dcterms:W3CDTF">2023-05-22T09:46:29Z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