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重庆市第七人民医院</w:t>
      </w:r>
    </w:p>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lang w:eastAsia="zh-CN"/>
        </w:rPr>
        <w:t>医学数字图书馆</w:t>
      </w:r>
      <w:r>
        <w:rPr>
          <w:rFonts w:hint="eastAsia" w:ascii="方正小标宋_GBK" w:eastAsia="方正小标宋_GBK"/>
          <w:b/>
          <w:bCs/>
          <w:color w:val="000000"/>
          <w:sz w:val="44"/>
          <w:szCs w:val="44"/>
        </w:rPr>
        <w:t>项目单一来源采购</w:t>
      </w:r>
      <w:bookmarkStart w:id="1" w:name="_GoBack"/>
      <w:bookmarkEnd w:id="1"/>
      <w:r>
        <w:rPr>
          <w:rFonts w:hint="eastAsia" w:ascii="方正小标宋_GBK" w:eastAsia="方正小标宋_GBK"/>
          <w:b/>
          <w:bCs/>
          <w:color w:val="000000"/>
          <w:sz w:val="44"/>
          <w:szCs w:val="44"/>
        </w:rPr>
        <w:t>通知书</w:t>
      </w:r>
    </w:p>
    <w:p>
      <w:pPr>
        <w:tabs>
          <w:tab w:val="left" w:pos="964"/>
          <w:tab w:val="center" w:pos="4766"/>
        </w:tabs>
        <w:spacing w:line="500" w:lineRule="exact"/>
        <w:jc w:val="center"/>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rPr>
        <w:t>采购编号：CQ7Y</w:t>
      </w:r>
      <w:r>
        <w:rPr>
          <w:rFonts w:hint="eastAsia" w:ascii="楷体" w:hAnsi="楷体" w:eastAsia="楷体" w:cs="楷体"/>
          <w:color w:val="000000"/>
          <w:sz w:val="28"/>
          <w:szCs w:val="28"/>
          <w:lang w:val="en-US" w:eastAsia="zh-CN"/>
        </w:rPr>
        <w:t>C</w:t>
      </w:r>
      <w:r>
        <w:rPr>
          <w:rFonts w:ascii="楷体" w:hAnsi="楷体" w:eastAsia="楷体" w:cs="楷体"/>
          <w:color w:val="000000"/>
          <w:sz w:val="28"/>
          <w:szCs w:val="28"/>
        </w:rPr>
        <w:t>20</w:t>
      </w:r>
      <w:r>
        <w:rPr>
          <w:rFonts w:hint="eastAsia" w:ascii="楷体" w:hAnsi="楷体" w:eastAsia="楷体" w:cs="楷体"/>
          <w:color w:val="000000"/>
          <w:sz w:val="28"/>
          <w:szCs w:val="28"/>
        </w:rPr>
        <w:t>2</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0</w:t>
      </w:r>
      <w:r>
        <w:rPr>
          <w:rFonts w:hint="eastAsia" w:ascii="楷体" w:hAnsi="楷体" w:eastAsia="楷体" w:cs="楷体"/>
          <w:color w:val="000000"/>
          <w:sz w:val="28"/>
          <w:szCs w:val="28"/>
          <w:lang w:val="en-US" w:eastAsia="zh-CN"/>
        </w:rPr>
        <w:t>04</w:t>
      </w:r>
    </w:p>
    <w:p>
      <w:pPr>
        <w:spacing w:line="500" w:lineRule="exact"/>
        <w:ind w:left="-199" w:leftChars="-95" w:firstLine="484" w:firstLineChars="202"/>
        <w:rPr>
          <w:rFonts w:ascii="仿宋_GB2312" w:eastAsia="仿宋_GB2312"/>
          <w:color w:val="000000"/>
          <w:sz w:val="24"/>
        </w:rPr>
      </w:pPr>
    </w:p>
    <w:p>
      <w:pPr>
        <w:spacing w:line="440" w:lineRule="exact"/>
        <w:ind w:left="-199" w:leftChars="-95" w:firstLine="646" w:firstLineChars="20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重庆市第七人民医院</w:t>
      </w:r>
      <w:r>
        <w:rPr>
          <w:rFonts w:hint="eastAsia" w:ascii="方正仿宋_GBK" w:hAnsi="方正仿宋_GBK" w:eastAsia="方正仿宋_GBK" w:cs="方正仿宋_GBK"/>
          <w:color w:val="000000"/>
          <w:sz w:val="32"/>
          <w:szCs w:val="32"/>
          <w:lang w:val="en-US" w:eastAsia="zh-CN"/>
        </w:rPr>
        <w:t>拟</w:t>
      </w:r>
      <w:r>
        <w:rPr>
          <w:rFonts w:hint="eastAsia" w:ascii="方正仿宋_GBK" w:hAnsi="方正仿宋_GBK" w:eastAsia="方正仿宋_GBK" w:cs="方正仿宋_GBK"/>
          <w:color w:val="000000"/>
          <w:sz w:val="32"/>
          <w:szCs w:val="32"/>
        </w:rPr>
        <w:t>对重庆市第七人民医院</w:t>
      </w:r>
      <w:r>
        <w:rPr>
          <w:rFonts w:hint="eastAsia" w:ascii="方正仿宋_GBK" w:hAnsi="方正仿宋_GBK" w:eastAsia="方正仿宋_GBK" w:cs="方正仿宋_GBK"/>
          <w:color w:val="000000"/>
          <w:sz w:val="32"/>
          <w:szCs w:val="32"/>
          <w:lang w:eastAsia="zh-CN"/>
        </w:rPr>
        <w:t>医学数字图书馆</w:t>
      </w:r>
      <w:r>
        <w:rPr>
          <w:rFonts w:hint="eastAsia" w:ascii="方正仿宋_GBK" w:hAnsi="方正仿宋_GBK" w:eastAsia="方正仿宋_GBK" w:cs="方正仿宋_GBK"/>
          <w:color w:val="000000"/>
          <w:sz w:val="32"/>
          <w:szCs w:val="32"/>
        </w:rPr>
        <w:t>进行单一来源采购，请供应商按照该项目的相关情况对项目进行报价。</w:t>
      </w:r>
    </w:p>
    <w:p>
      <w:pPr>
        <w:spacing w:line="44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供应商须知：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一、议价时间和地点</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电话通知。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二、报名资料获取方式</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请供应商通过重庆市第七人民医院官网（www.cq7y.com）获取采购通知书（不提供现场发售）。</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凭法定代表人身份证明书（含身份证复印件）、法定代表人授权委托书（含身份证复印件）、响应人廉洁承诺书及《重庆市第七人民医院议价报名表》（报名表格式见附件4）报名，报名全套资料加盖公章。</w:t>
      </w:r>
    </w:p>
    <w:p>
      <w:pPr>
        <w:snapToGrid w:val="0"/>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报名资料请勿装入密封文件袋中！</w:t>
      </w:r>
    </w:p>
    <w:p>
      <w:pPr>
        <w:numPr>
          <w:ilvl w:val="0"/>
          <w:numId w:val="1"/>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项目技术要求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（一）供应商必须严格按照技术方案要求投报与之要求相符或高于的服务，若其中任意一项不能满足，则视为无效报价。（该项目技术方案详见“附件2”）。</w:t>
      </w:r>
    </w:p>
    <w:p>
      <w:pPr>
        <w:spacing w:line="440" w:lineRule="exact"/>
        <w:ind w:firstLine="640"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（二）标准要求：供应商所投服务规格、型号等性能指标符合国家及本采购通知书提出的相关技术、质量、环保、安全标准。如达不到相关标准，采购人有权向成交供应商提出解除合同。</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四、商务条款</w:t>
      </w:r>
    </w:p>
    <w:p>
      <w:pPr>
        <w:spacing w:line="440" w:lineRule="exact"/>
        <w:ind w:firstLine="420"/>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b/>
          <w:kern w:val="0"/>
          <w:sz w:val="32"/>
          <w:szCs w:val="32"/>
        </w:rPr>
        <w:t>）服务时间、服务地点及验收方式</w:t>
      </w:r>
    </w:p>
    <w:p>
      <w:pPr>
        <w:snapToGrid w:val="0"/>
        <w:spacing w:line="44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lang w:val="en-US" w:eastAsia="zh-CN"/>
        </w:rPr>
        <w:t>服务时间：</w:t>
      </w:r>
      <w:r>
        <w:rPr>
          <w:rFonts w:hint="eastAsia" w:ascii="方正仿宋_GBK" w:hAnsi="方正仿宋_GBK" w:eastAsia="方正仿宋_GBK" w:cs="方正仿宋_GBK"/>
          <w:kern w:val="0"/>
          <w:sz w:val="32"/>
          <w:szCs w:val="32"/>
          <w:highlight w:val="none"/>
        </w:rPr>
        <w:t>成交人自合同签订之日起，服务期限1年。签订合同后5日内完成项目的所有内容网络版开通及账号注册；</w:t>
      </w:r>
    </w:p>
    <w:p>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lang w:val="en-US" w:eastAsia="zh-CN"/>
        </w:rPr>
        <w:t>服务地点：</w:t>
      </w:r>
      <w:r>
        <w:rPr>
          <w:rFonts w:hint="eastAsia" w:ascii="方正仿宋_GBK" w:hAnsi="方正仿宋_GBK" w:eastAsia="方正仿宋_GBK" w:cs="方正仿宋_GBK"/>
          <w:kern w:val="0"/>
          <w:sz w:val="32"/>
          <w:szCs w:val="32"/>
          <w:highlight w:val="none"/>
        </w:rPr>
        <w:t>重庆市第七人民医院</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3.验收方式：培训2名医院图书馆管理人员，确保他们能正常查阅和下载电子图书馆资源后通过验收</w:t>
      </w:r>
      <w:r>
        <w:rPr>
          <w:rFonts w:hint="eastAsia" w:ascii="方正仿宋_GBK" w:hAnsi="方正仿宋_GBK" w:eastAsia="方正仿宋_GBK" w:cs="方正仿宋_GBK"/>
          <w:kern w:val="0"/>
          <w:sz w:val="32"/>
          <w:szCs w:val="32"/>
          <w:highlight w:val="none"/>
        </w:rPr>
        <w:t>。</w:t>
      </w:r>
    </w:p>
    <w:p>
      <w:pPr>
        <w:keepNext w:val="0"/>
        <w:keepLines w:val="0"/>
        <w:pageBreakBefore w:val="0"/>
        <w:widowControl w:val="0"/>
        <w:kinsoku/>
        <w:wordWrap/>
        <w:overflowPunct/>
        <w:topLinePunct w:val="0"/>
        <w:bidi w:val="0"/>
        <w:spacing w:line="560" w:lineRule="exact"/>
        <w:ind w:firstLine="321" w:firstLineChars="100"/>
        <w:jc w:val="left"/>
        <w:textAlignment w:val="auto"/>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（二）</w:t>
      </w:r>
      <w:r>
        <w:rPr>
          <w:rFonts w:hint="default" w:ascii="Times New Roman" w:hAnsi="Times New Roman" w:eastAsia="方正黑体_GBK" w:cs="Times New Roman"/>
          <w:kern w:val="2"/>
          <w:sz w:val="32"/>
          <w:szCs w:val="32"/>
          <w:lang w:val="en-US" w:eastAsia="zh-CN" w:bidi="ar-SA"/>
        </w:rPr>
        <w:t>最高限价及报价要求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项目最高限价￥</w:t>
      </w:r>
      <w:r>
        <w:rPr>
          <w:rFonts w:hint="eastAsia" w:ascii="方正仿宋_GBK" w:hAnsi="方正仿宋_GBK" w:eastAsia="方正仿宋_GBK" w:cs="方正仿宋_GBK"/>
          <w:kern w:val="0"/>
          <w:sz w:val="32"/>
          <w:szCs w:val="32"/>
          <w:lang w:val="en-US" w:eastAsia="zh-CN"/>
        </w:rPr>
        <w:t>50000.00</w:t>
      </w:r>
      <w:r>
        <w:rPr>
          <w:rFonts w:hint="eastAsia" w:ascii="方正仿宋_GBK" w:hAnsi="方正仿宋_GBK" w:eastAsia="方正仿宋_GBK" w:cs="方正仿宋_GBK"/>
          <w:kern w:val="0"/>
          <w:sz w:val="32"/>
          <w:szCs w:val="32"/>
        </w:rPr>
        <w:t>元（大写：伍万元整）。本次报价须为人民币报价，包含：产品基价、包装费、税费（含关税）、保险费、安装费、调试费、验收费、特殊工具费、保修期内的售后服务费、培训费等一切与此项目有关的所有费用。</w:t>
      </w:r>
    </w:p>
    <w:p>
      <w:pPr>
        <w:numPr>
          <w:ilvl w:val="0"/>
          <w:numId w:val="2"/>
        </w:numPr>
        <w:spacing w:line="440" w:lineRule="exact"/>
        <w:ind w:firstLine="643" w:firstLineChars="200"/>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bidi="ar-SA"/>
        </w:rPr>
        <w:t>售后服务</w:t>
      </w:r>
    </w:p>
    <w:p>
      <w:pPr>
        <w:numPr>
          <w:ilvl w:val="0"/>
          <w:numId w:val="0"/>
        </w:numPr>
        <w:spacing w:line="440" w:lineRule="exact"/>
        <w:ind w:firstLine="960" w:firstLineChars="3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服务期间采购人免费享用年度期刊实时更新内容。</w:t>
      </w:r>
    </w:p>
    <w:p>
      <w:pPr>
        <w:numPr>
          <w:ilvl w:val="0"/>
          <w:numId w:val="0"/>
        </w:numPr>
        <w:spacing w:line="440" w:lineRule="exact"/>
        <w:ind w:firstLine="643" w:firstLineChars="2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bidi="ar-SA"/>
        </w:rPr>
        <w:t>（四）</w:t>
      </w:r>
      <w:r>
        <w:rPr>
          <w:rFonts w:hint="eastAsia" w:ascii="方正仿宋_GBK" w:hAnsi="方正仿宋_GBK" w:eastAsia="方正仿宋_GBK" w:cs="方正仿宋_GBK"/>
          <w:b/>
          <w:bCs/>
          <w:kern w:val="0"/>
          <w:sz w:val="32"/>
          <w:szCs w:val="32"/>
          <w:lang w:val="en-US" w:eastAsia="zh-CN"/>
        </w:rPr>
        <w:t>付款方式</w:t>
      </w:r>
    </w:p>
    <w:p>
      <w:pPr>
        <w:snapToGrid w:val="0"/>
        <w:spacing w:line="440" w:lineRule="exact"/>
        <w:ind w:firstLine="640" w:firstLineChars="200"/>
        <w:rPr>
          <w:rFonts w:hint="eastAsia" w:ascii="方正仿宋_GBK" w:hAnsi="方正仿宋_GBK" w:eastAsia="方正仿宋_GBK" w:cs="方正仿宋_GBK"/>
          <w:b/>
          <w:kern w:val="0"/>
          <w:sz w:val="32"/>
          <w:szCs w:val="32"/>
          <w:lang w:eastAsia="zh-CN"/>
        </w:rPr>
      </w:pPr>
      <w:r>
        <w:rPr>
          <w:rFonts w:hint="eastAsia" w:ascii="方正仿宋_GBK" w:hAnsi="方正仿宋_GBK" w:eastAsia="方正仿宋_GBK" w:cs="方正仿宋_GBK"/>
          <w:kern w:val="0"/>
          <w:sz w:val="32"/>
          <w:szCs w:val="32"/>
          <w:lang w:val="en-US" w:eastAsia="zh-CN"/>
        </w:rPr>
        <w:t>合同签订后30个工作日内支付合同总金额的95%，服务期满后30个工作日内支付总金额的5%。</w:t>
      </w:r>
    </w:p>
    <w:p>
      <w:pPr>
        <w:spacing w:line="440" w:lineRule="exact"/>
        <w:ind w:firstLine="643"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snapToGrid w:val="0"/>
        <w:spacing w:line="4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kern w:val="0"/>
          <w:sz w:val="32"/>
          <w:szCs w:val="32"/>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pPr>
        <w:spacing w:line="440" w:lineRule="exact"/>
        <w:ind w:firstLine="482"/>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）其他</w:t>
      </w:r>
    </w:p>
    <w:p>
      <w:pPr>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1.响应人必须在投标文件中对以上条款和服务作出承诺，承诺必须达到本采购文件条款的要求。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2．其他未尽事宜由供需双方在采购合同中详细约定。</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五、响应文件制作要求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numPr>
          <w:ilvl w:val="0"/>
          <w:numId w:val="3"/>
        </w:num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（1）具有独立承担民事责任的能力；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（2）具有良好的商业信誉和健全的财务会计制度；</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（3）具有履行合同所必需的设备和专业技术能力；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（4）有依法缴纳税收和社会保障资金的良好记录；</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（5）参加政府采购活动前三年内，在经营活动中没有重大违法记录。</w:t>
      </w:r>
    </w:p>
    <w:p>
      <w:pPr>
        <w:spacing w:line="440" w:lineRule="exact"/>
        <w:ind w:firstLine="640" w:firstLineChars="200"/>
      </w:pPr>
      <w:r>
        <w:rPr>
          <w:rFonts w:hint="eastAsia" w:ascii="方正仿宋_GBK" w:hAnsi="方正仿宋_GBK" w:eastAsia="方正仿宋_GBK" w:cs="方正仿宋_GBK"/>
          <w:color w:val="000000"/>
          <w:sz w:val="32"/>
          <w:szCs w:val="32"/>
        </w:rPr>
        <w:t>上述2-5项检查内容：响应人提供诚信声明（格式附后）</w:t>
      </w:r>
      <w:r>
        <w:rPr>
          <w:rFonts w:hint="eastAsia" w:ascii="方正仿宋_GBK" w:hAnsi="方正仿宋_GBK" w:eastAsia="方正仿宋_GBK" w:cs="方正仿宋_GBK"/>
          <w:sz w:val="32"/>
          <w:szCs w:val="32"/>
        </w:rPr>
        <w:t>。</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2.特殊资格条件内容要求 </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因医院发展的需要，采购医学数字图书馆软件一套。北京万方数据股份有限公司作为产品制造厂商；自2009年即独家拥有“中华医学会系列期刊论文电子版下述授权：复制权、发行权、信息网络传播权及有关收益权”；因此，采购内容上具有明确的唯一性。为与医院前期的图书馆数据系统保持一致性，且成都知行融康科技有限责任公司是川渝地区万方数据股份有限公司的唯一代理商。故</w:t>
      </w:r>
      <w:r>
        <w:rPr>
          <w:rFonts w:hint="eastAsia" w:ascii="方正仿宋_GBK" w:hAnsi="方正仿宋_GBK" w:eastAsia="方正仿宋_GBK" w:cs="方正仿宋_GBK"/>
          <w:color w:val="000000"/>
          <w:sz w:val="32"/>
          <w:szCs w:val="32"/>
          <w:lang w:val="en-US" w:eastAsia="zh-CN"/>
        </w:rPr>
        <w:t>本项目</w:t>
      </w:r>
      <w:r>
        <w:rPr>
          <w:rFonts w:hint="eastAsia" w:ascii="方正仿宋_GBK" w:hAnsi="方正仿宋_GBK" w:eastAsia="方正仿宋_GBK" w:cs="方正仿宋_GBK"/>
          <w:color w:val="000000"/>
          <w:sz w:val="32"/>
          <w:szCs w:val="32"/>
        </w:rPr>
        <w:t>从成都知行融康科技有限责任公司单一来源采购。</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1.所投服务技术性能、技术指标介绍；</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2.所投服务与采购货物技术参数差异表(应对技术参数中的所有条款进行逐一应答，还需在“响应文件对应页码”栏内写明技术支持文件的页码)；</w:t>
      </w:r>
    </w:p>
    <w:p>
      <w:pPr>
        <w:snapToGrid w:val="0"/>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3.技术方案中要求的其他资料。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（三）报价表填写要求</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报价一览表（详见“附件1”）</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供应商在不超出经营范围且符合资质的情况下，对采购</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进行报价。报价要求为：</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1.对项目的报价应填报《报价一览表》 (按照附件格式填写)。</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2.本次报价数量以单一来源采购通知书提供的计算。</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3.本项目成交价为包干价。采购人只支付成交的费用，如发生其它费用一律由成交供应商自理。</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numPr>
          <w:ilvl w:val="0"/>
          <w:numId w:val="4"/>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无效报价情形</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（一）资质审查不合格的（即供应商提交的资质文件不符合采购通知书资质文件内容要求的）；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（二）供应商超出营业范围议价的；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（三）响应文件未密封的；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（四）响应文件逾期送达的；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（五）响应文件与采购通知书实质性要求有严重背离的；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（六）没有按照通知书要求由供应商法定代表人或授权代表签字并加盖公章的；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（七）报价超过最高限价的；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（八）响应文件未按规定格式和要求填写，内容不全或字迹模糊，辨认不清而影响评标定标的；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（九）未完全响应本采购通知书技术方案及商务条款的；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（十）响应文件出现多个投报方案或报价的；</w:t>
      </w:r>
    </w:p>
    <w:p>
      <w:pPr>
        <w:pStyle w:val="7"/>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（十一）响应文件附有采购人不能接受的条件。</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七、成交办法</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pPr>
        <w:spacing w:line="44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八、签订采购合同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成交供应商应</w:t>
      </w:r>
      <w:r>
        <w:rPr>
          <w:rFonts w:hint="eastAsia" w:ascii="方正仿宋_GBK" w:hAnsi="方正仿宋_GBK" w:eastAsia="方正仿宋_GBK" w:cs="方正仿宋_GBK"/>
          <w:b/>
          <w:bCs/>
          <w:color w:val="000000"/>
          <w:sz w:val="32"/>
          <w:szCs w:val="32"/>
        </w:rPr>
        <w:t>在公示期后3个工作日内领取成交通知书，在领取成交通知书后10个工作日内，按照采购通知书和其提交的响应文件与采购人签订采购合同</w:t>
      </w:r>
      <w:r>
        <w:rPr>
          <w:rFonts w:hint="eastAsia" w:ascii="方正仿宋_GBK" w:hAnsi="方正仿宋_GBK" w:eastAsia="方正仿宋_GBK" w:cs="方正仿宋_GBK"/>
          <w:color w:val="000000"/>
          <w:sz w:val="32"/>
          <w:szCs w:val="32"/>
        </w:rPr>
        <w:t>。成交供应商</w:t>
      </w:r>
      <w:r>
        <w:rPr>
          <w:rFonts w:hint="eastAsia" w:ascii="方正仿宋_GBK" w:hAnsi="方正仿宋_GBK" w:eastAsia="方正仿宋_GBK" w:cs="方正仿宋_GBK"/>
          <w:b/>
          <w:bCs/>
          <w:color w:val="000000"/>
          <w:sz w:val="32"/>
          <w:szCs w:val="32"/>
        </w:rPr>
        <w:t>逾期或拒绝领取成交通知书或者不按成交状态签订合同</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b/>
          <w:bCs/>
          <w:color w:val="000000"/>
          <w:sz w:val="32"/>
          <w:szCs w:val="32"/>
        </w:rPr>
        <w:t>视为自动放弃，并应承担相应责任</w:t>
      </w:r>
      <w:r>
        <w:rPr>
          <w:rFonts w:hint="eastAsia" w:ascii="方正仿宋_GBK" w:hAnsi="方正仿宋_GBK" w:eastAsia="方正仿宋_GBK" w:cs="方正仿宋_GBK"/>
          <w:color w:val="000000"/>
          <w:sz w:val="32"/>
          <w:szCs w:val="32"/>
        </w:rPr>
        <w:t>。</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九、履行合同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19"/>
        <w:spacing w:line="440" w:lineRule="exact"/>
        <w:ind w:left="0" w:firstLine="627" w:firstLineChars="196"/>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19"/>
        <w:spacing w:line="440" w:lineRule="exact"/>
        <w:ind w:left="0" w:firstLine="627" w:firstLineChars="196"/>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rPr>
        <w:t xml:space="preserve"> </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十、资金结算办法</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7"/>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附件：1.响应文件格式目录</w:t>
      </w:r>
    </w:p>
    <w:p>
      <w:pPr>
        <w:pStyle w:val="7"/>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2.技术方案</w:t>
      </w:r>
    </w:p>
    <w:p>
      <w:pPr>
        <w:pStyle w:val="7"/>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3.合同范本</w:t>
      </w:r>
    </w:p>
    <w:p>
      <w:pPr>
        <w:pStyle w:val="7"/>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4.议价报名表</w:t>
      </w:r>
    </w:p>
    <w:p>
      <w:pPr>
        <w:pStyle w:val="7"/>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5.响应人廉洁承诺书</w:t>
      </w:r>
    </w:p>
    <w:p>
      <w:pPr>
        <w:pStyle w:val="7"/>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hint="eastAsia" w:ascii="方正仿宋_GBK" w:hAnsi="方正仿宋_GBK" w:eastAsia="方正仿宋_GBK" w:cs="方正仿宋_GBK"/>
          <w:sz w:val="32"/>
          <w:szCs w:val="32"/>
        </w:rPr>
      </w:pPr>
    </w:p>
    <w:p>
      <w:pPr>
        <w:pStyle w:val="7"/>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响应文件格式目录</w:t>
      </w:r>
    </w:p>
    <w:p>
      <w:pPr>
        <w:widowControl w:val="0"/>
        <w:spacing w:line="540" w:lineRule="exact"/>
        <w:rPr>
          <w:rFonts w:ascii="方正仿宋_GBK" w:hAnsi="方正仿宋_GBK" w:eastAsia="方正仿宋_GBK" w:cs="方正仿宋_GBK"/>
          <w:b/>
          <w:kern w:val="0"/>
          <w:sz w:val="32"/>
          <w:szCs w:val="32"/>
        </w:rPr>
      </w:pPr>
    </w:p>
    <w:p>
      <w:pPr>
        <w:snapToGrid w:val="0"/>
        <w:spacing w:line="500" w:lineRule="exact"/>
        <w:ind w:firstLine="57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一、资质文件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二、技术文件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技术性能、技术指标介绍；</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（二）采购与响应</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技术参数差异表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pPr>
        <w:widowControl w:val="0"/>
        <w:tabs>
          <w:tab w:val="left" w:pos="6300"/>
        </w:tabs>
        <w:snapToGrid w:val="0"/>
        <w:spacing w:line="50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p>
        </w:tc>
        <w:tc>
          <w:tcPr>
            <w:tcW w:w="1740"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采购服务技术参数</w:t>
            </w:r>
          </w:p>
        </w:tc>
        <w:tc>
          <w:tcPr>
            <w:tcW w:w="162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响应服务技术参数</w:t>
            </w:r>
          </w:p>
        </w:tc>
        <w:tc>
          <w:tcPr>
            <w:tcW w:w="1627"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pPr>
              <w:widowControl w:val="0"/>
              <w:spacing w:line="540" w:lineRule="exac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差异</w:t>
            </w:r>
            <w:r>
              <w:rPr>
                <w:rFonts w:hint="eastAsia" w:ascii="方正仿宋_GBK" w:hAnsi="方正仿宋_GBK" w:eastAsia="方正仿宋_GBK" w:cs="方正仿宋_GBK"/>
                <w:kern w:val="0"/>
                <w:sz w:val="32"/>
                <w:szCs w:val="32"/>
                <w:lang w:val="en-US" w:eastAsia="zh-CN"/>
              </w:rPr>
              <w:t>原因</w:t>
            </w:r>
          </w:p>
        </w:tc>
        <w:tc>
          <w:tcPr>
            <w:tcW w:w="136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（三）采购通知书中要求的其他技术商务文件</w:t>
      </w:r>
    </w:p>
    <w:p>
      <w:pPr>
        <w:widowControl w:val="0"/>
        <w:tabs>
          <w:tab w:val="left" w:pos="6300"/>
        </w:tabs>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三、报价文件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（一）议价一览表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widowControl w:val="0"/>
        <w:spacing w:line="540" w:lineRule="exact"/>
        <w:rPr>
          <w:rFonts w:ascii="方正仿宋_GBK" w:hAnsi="方正仿宋_GBK" w:eastAsia="方正仿宋_GBK" w:cs="方正仿宋_GBK"/>
          <w:kern w:val="0"/>
          <w:sz w:val="32"/>
          <w:szCs w:val="32"/>
          <w:u w:val="single"/>
        </w:rPr>
      </w:pPr>
    </w:p>
    <w:tbl>
      <w:tblPr>
        <w:tblStyle w:val="12"/>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vAlign w:val="center"/>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质保</w:t>
            </w:r>
            <w:r>
              <w:rPr>
                <w:rFonts w:hint="eastAsia" w:ascii="方正仿宋_GBK" w:hAnsi="方正仿宋_GBK" w:eastAsia="方正仿宋_GBK" w:cs="方正仿宋_GBK"/>
                <w:sz w:val="32"/>
                <w:szCs w:val="32"/>
              </w:rPr>
              <w:t>期</w:t>
            </w:r>
          </w:p>
        </w:tc>
        <w:tc>
          <w:tcPr>
            <w:tcW w:w="3232"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pPr>
              <w:widowControl w:val="0"/>
              <w:rPr>
                <w:rFonts w:ascii="方正仿宋_GBK" w:hAnsi="方正仿宋_GBK" w:eastAsia="方正仿宋_GBK" w:cs="方正仿宋_GBK"/>
                <w:sz w:val="32"/>
                <w:szCs w:val="32"/>
              </w:rPr>
            </w:pPr>
          </w:p>
        </w:tc>
        <w:tc>
          <w:tcPr>
            <w:tcW w:w="3600" w:type="dxa"/>
            <w:gridSpan w:val="2"/>
            <w:tcBorders>
              <w:bottom w:val="single" w:color="auto" w:sz="4" w:space="0"/>
            </w:tcBorders>
          </w:tcPr>
          <w:p>
            <w:pPr>
              <w:widowControl w:val="0"/>
              <w:rPr>
                <w:rFonts w:ascii="方正仿宋_GBK" w:hAnsi="方正仿宋_GBK" w:eastAsia="方正仿宋_GBK" w:cs="方正仿宋_GBK"/>
                <w:sz w:val="32"/>
                <w:szCs w:val="32"/>
              </w:rPr>
            </w:pPr>
          </w:p>
        </w:tc>
        <w:tc>
          <w:tcPr>
            <w:tcW w:w="3232" w:type="dxa"/>
            <w:tcBorders>
              <w:bottom w:val="single" w:color="auto" w:sz="4" w:space="0"/>
            </w:tcBorders>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vAlign w:val="center"/>
          </w:tcPr>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tcPr>
          <w:p>
            <w:pPr>
              <w:widowControl w:val="0"/>
              <w:rPr>
                <w:rFonts w:ascii="方正仿宋_GBK" w:hAnsi="方正仿宋_GBK" w:eastAsia="方正仿宋_GBK" w:cs="方正仿宋_GBK"/>
                <w:sz w:val="32"/>
                <w:szCs w:val="32"/>
              </w:rPr>
            </w:pPr>
          </w:p>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ascii="方正仿宋_GBK" w:hAnsi="方正仿宋_GBK" w:eastAsia="方正仿宋_GBK" w:cs="方正仿宋_GBK"/>
          <w:kern w:val="0"/>
          <w:sz w:val="32"/>
          <w:szCs w:val="32"/>
        </w:rPr>
      </w:pPr>
    </w:p>
    <w:p>
      <w:pPr>
        <w:widowControl w:val="0"/>
        <w:spacing w:line="540" w:lineRule="exact"/>
        <w:ind w:firstLine="480" w:firstLineChars="1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ascii="方正仿宋_GBK" w:hAnsi="方正仿宋_GBK" w:eastAsia="方正仿宋_GBK" w:cs="方正仿宋_GBK"/>
          <w:kern w:val="0"/>
          <w:sz w:val="28"/>
          <w:szCs w:val="28"/>
        </w:rPr>
      </w:pPr>
    </w:p>
    <w:p>
      <w:pPr>
        <w:spacing w:line="540" w:lineRule="exact"/>
        <w:rPr>
          <w:rFonts w:ascii="方正仿宋_GBK" w:hAnsi="方正仿宋_GBK" w:eastAsia="方正仿宋_GBK" w:cs="方正仿宋_GBK"/>
          <w:spacing w:val="20"/>
          <w:kern w:val="0"/>
          <w:sz w:val="28"/>
          <w:szCs w:val="28"/>
        </w:rPr>
      </w:pPr>
      <w:r>
        <w:rPr>
          <w:rFonts w:hint="eastAsia" w:ascii="方正仿宋_GBK" w:hAnsi="方正仿宋_GBK" w:eastAsia="方正仿宋_GBK" w:cs="方正仿宋_GBK"/>
          <w:spacing w:val="20"/>
          <w:kern w:val="0"/>
          <w:sz w:val="28"/>
          <w:szCs w:val="28"/>
        </w:rPr>
        <w:t>说明：议价一览表在议价采购会上当众宣读，务必填写清楚、准确无误。</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p>
    <w:p>
      <w:pPr>
        <w:spacing w:line="520" w:lineRule="exact"/>
        <w:ind w:firstLine="2891" w:firstLineChars="900"/>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b/>
          <w:bCs/>
          <w:sz w:val="32"/>
          <w:szCs w:val="32"/>
          <w:lang w:eastAsia="zh-CN"/>
        </w:rPr>
        <w:t>医学数字图书馆</w:t>
      </w:r>
      <w:r>
        <w:rPr>
          <w:rFonts w:hint="eastAsia" w:asciiTheme="minorEastAsia" w:hAnsiTheme="minorEastAsia" w:eastAsiaTheme="minorEastAsia" w:cstheme="minorEastAsia"/>
          <w:b/>
          <w:bCs/>
          <w:sz w:val="32"/>
          <w:szCs w:val="32"/>
          <w:lang w:val="en-US" w:eastAsia="zh-CN"/>
        </w:rPr>
        <w:t>技术</w:t>
      </w:r>
      <w:r>
        <w:rPr>
          <w:rFonts w:hint="eastAsia" w:asciiTheme="minorEastAsia" w:hAnsiTheme="minorEastAsia" w:eastAsiaTheme="minorEastAsia" w:cstheme="minorEastAsia"/>
          <w:b/>
          <w:bCs/>
          <w:sz w:val="32"/>
          <w:szCs w:val="32"/>
        </w:rPr>
        <w:t>方案</w:t>
      </w:r>
    </w:p>
    <w:p>
      <w:pPr>
        <w:widowControl w:val="0"/>
        <w:spacing w:line="560" w:lineRule="exact"/>
        <w:ind w:firstLine="645"/>
        <w:rPr>
          <w:rFonts w:ascii="仿宋" w:hAnsi="仿宋" w:eastAsia="仿宋"/>
          <w:b/>
          <w:sz w:val="28"/>
          <w:szCs w:val="28"/>
          <w:lang w:eastAsia="zh-CN"/>
        </w:rPr>
      </w:pPr>
      <w:r>
        <w:rPr>
          <w:rFonts w:hint="eastAsia" w:ascii="仿宋" w:hAnsi="仿宋" w:eastAsia="仿宋"/>
          <w:b/>
          <w:sz w:val="28"/>
          <w:szCs w:val="28"/>
          <w:lang w:eastAsia="zh-CN"/>
        </w:rPr>
        <w:t>1、中文医学期刊</w:t>
      </w:r>
    </w:p>
    <w:p>
      <w:pPr>
        <w:widowControl w:val="0"/>
        <w:numPr>
          <w:ilvl w:val="0"/>
          <w:numId w:val="5"/>
        </w:numPr>
        <w:spacing w:line="360" w:lineRule="auto"/>
        <w:ind w:left="425" w:hanging="425"/>
        <w:rPr>
          <w:rFonts w:ascii="仿宋" w:hAnsi="仿宋" w:eastAsia="仿宋" w:cs="宋体"/>
          <w:sz w:val="28"/>
          <w:szCs w:val="28"/>
          <w:lang w:eastAsia="zh-CN"/>
        </w:rPr>
      </w:pPr>
      <w:r>
        <w:rPr>
          <w:rFonts w:hint="eastAsia" w:ascii="仿宋" w:hAnsi="仿宋" w:eastAsia="仿宋"/>
          <w:sz w:val="28"/>
          <w:szCs w:val="28"/>
          <w:lang w:eastAsia="zh-CN"/>
        </w:rPr>
        <w:t xml:space="preserve"> </w:t>
      </w:r>
      <w:r>
        <w:rPr>
          <w:rFonts w:hint="eastAsia" w:ascii="仿宋" w:hAnsi="仿宋" w:eastAsia="仿宋" w:cs="宋体"/>
          <w:sz w:val="28"/>
          <w:szCs w:val="28"/>
          <w:lang w:eastAsia="zh-CN"/>
        </w:rPr>
        <w:t>中文医学期刊包含网络访问以及移动端服务；</w:t>
      </w:r>
    </w:p>
    <w:p>
      <w:pPr>
        <w:widowControl w:val="0"/>
        <w:numPr>
          <w:ilvl w:val="0"/>
          <w:numId w:val="5"/>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数据内容：应包括国内主要医学期刊，中文医学期刊以及相关行业期刊数量不少于1500余种，时间范围1998-2023年；</w:t>
      </w:r>
    </w:p>
    <w:p>
      <w:pPr>
        <w:widowControl w:val="0"/>
        <w:numPr>
          <w:ilvl w:val="0"/>
          <w:numId w:val="5"/>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系统应收录中华医学会系列期刊，能够提供2023年度中华医学会最新期刊论文全文《可以提供全文下载截图证明文件》的优先考虑；</w:t>
      </w:r>
    </w:p>
    <w:p>
      <w:pPr>
        <w:widowControl w:val="0"/>
        <w:numPr>
          <w:ilvl w:val="0"/>
          <w:numId w:val="5"/>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要求建立中外文对应MESH主题词表，中文期刊能够在线阅读并提供实时下载全文功能（下载速度不超过15秒）；</w:t>
      </w:r>
    </w:p>
    <w:p>
      <w:pPr>
        <w:widowControl w:val="0"/>
        <w:numPr>
          <w:ilvl w:val="0"/>
          <w:numId w:val="5"/>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全部论文为标准的PDF格式，使用免费PDF阅读工具即可阅读，不需要额外的安装阅读软件；</w:t>
      </w:r>
    </w:p>
    <w:p>
      <w:pPr>
        <w:keepNext/>
        <w:keepLines/>
        <w:widowControl w:val="0"/>
        <w:numPr>
          <w:ilvl w:val="0"/>
          <w:numId w:val="6"/>
        </w:numPr>
        <w:autoSpaceDE/>
        <w:autoSpaceDN/>
        <w:adjustRightInd/>
        <w:spacing w:before="260" w:after="260" w:line="360" w:lineRule="auto"/>
        <w:ind w:left="1080" w:hanging="720"/>
        <w:jc w:val="both"/>
        <w:outlineLvl w:val="2"/>
        <w:rPr>
          <w:rFonts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外文医学期刊</w:t>
      </w:r>
    </w:p>
    <w:p>
      <w:pPr>
        <w:widowControl w:val="0"/>
        <w:numPr>
          <w:ilvl w:val="0"/>
          <w:numId w:val="7"/>
        </w:numPr>
        <w:spacing w:line="360" w:lineRule="auto"/>
        <w:ind w:left="425" w:hanging="425"/>
        <w:rPr>
          <w:rFonts w:ascii="仿宋" w:hAnsi="仿宋" w:eastAsia="仿宋" w:cs="宋体"/>
          <w:sz w:val="28"/>
          <w:szCs w:val="28"/>
          <w:lang w:eastAsia="zh-TW"/>
        </w:rPr>
      </w:pPr>
      <w:r>
        <w:rPr>
          <w:rFonts w:hint="eastAsia" w:ascii="仿宋" w:hAnsi="仿宋" w:eastAsia="仿宋" w:cs="宋体"/>
          <w:sz w:val="28"/>
          <w:szCs w:val="28"/>
          <w:lang w:eastAsia="zh-TW"/>
        </w:rPr>
        <w:t>期刊种类包括：NSTL（国家科技文献中心）外文医学期刊5000余种，PubMed期刊26000余种（包含全部Medline期刊），DOAJ、PMC、BMC等OA期刊1700余种。其中可提供全文的外文期刊不低于8400种。</w:t>
      </w:r>
    </w:p>
    <w:p>
      <w:pPr>
        <w:widowControl w:val="0"/>
        <w:numPr>
          <w:ilvl w:val="0"/>
          <w:numId w:val="7"/>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能够在同一厂商检索系统中实现提供基于MESH主题词检索的一站式跨库、跨语言检索（包括中文期刊论文、中国生物医学博硕论文、中国生物医学会议论文、NSTL外文医学期刊、Pubmed生物医学期刊、DOAJ、PMC、BMC等OA期刊论文、图书馆馆藏论文），需提供系统使用界面截图；</w:t>
      </w:r>
    </w:p>
    <w:p>
      <w:pPr>
        <w:widowControl w:val="0"/>
        <w:numPr>
          <w:ilvl w:val="0"/>
          <w:numId w:val="7"/>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获取全文途径包括NSTL原文传递、馆际互借原文传递、OA期刊原文下载等。</w:t>
      </w:r>
    </w:p>
    <w:p>
      <w:pPr>
        <w:widowControl w:val="0"/>
        <w:numPr>
          <w:ilvl w:val="0"/>
          <w:numId w:val="7"/>
        </w:numPr>
        <w:spacing w:line="360" w:lineRule="auto"/>
        <w:ind w:left="425" w:hanging="425"/>
        <w:rPr>
          <w:rFonts w:ascii="仿宋" w:hAnsi="仿宋" w:eastAsia="仿宋" w:cs="宋体"/>
          <w:sz w:val="28"/>
          <w:szCs w:val="28"/>
          <w:lang w:eastAsia="zh-CN"/>
        </w:rPr>
      </w:pPr>
      <w:r>
        <w:rPr>
          <w:rFonts w:hint="eastAsia" w:ascii="仿宋" w:hAnsi="仿宋" w:eastAsia="仿宋" w:cs="宋体"/>
          <w:sz w:val="28"/>
          <w:szCs w:val="28"/>
          <w:lang w:eastAsia="zh-CN"/>
        </w:rPr>
        <w:t>版权规范，要求提供相关国家科技文献中心关于外文科技文献原文推送服务的证明文件。</w:t>
      </w:r>
    </w:p>
    <w:p>
      <w:pPr>
        <w:keepNext/>
        <w:keepLines/>
        <w:widowControl w:val="0"/>
        <w:numPr>
          <w:ilvl w:val="0"/>
          <w:numId w:val="6"/>
        </w:numPr>
        <w:autoSpaceDE/>
        <w:autoSpaceDN/>
        <w:adjustRightInd/>
        <w:spacing w:before="260" w:after="260" w:line="413" w:lineRule="auto"/>
        <w:ind w:left="1080" w:hanging="720"/>
        <w:jc w:val="both"/>
        <w:outlineLvl w:val="2"/>
        <w:rPr>
          <w:rFonts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学位论文</w:t>
      </w:r>
    </w:p>
    <w:p>
      <w:pPr>
        <w:widowControl w:val="0"/>
        <w:rPr>
          <w:rFonts w:ascii="仿宋" w:hAnsi="仿宋" w:eastAsia="仿宋"/>
          <w:color w:val="333333"/>
          <w:sz w:val="28"/>
          <w:szCs w:val="28"/>
          <w:shd w:val="clear" w:color="auto" w:fill="FFFFFF"/>
          <w:lang w:eastAsia="zh-CN"/>
        </w:rPr>
      </w:pPr>
      <w:r>
        <w:rPr>
          <w:rFonts w:hint="eastAsia" w:ascii="仿宋" w:hAnsi="仿宋" w:eastAsia="仿宋"/>
          <w:color w:val="333333"/>
          <w:sz w:val="28"/>
          <w:szCs w:val="28"/>
          <w:shd w:val="clear" w:color="auto" w:fill="FFFFFF"/>
          <w:lang w:eastAsia="zh-CN"/>
        </w:rPr>
        <w:t>1）.提供中文医学博硕论文网络访问服务，提供学位论文的总数不少于65万册。</w:t>
      </w:r>
    </w:p>
    <w:p>
      <w:pPr>
        <w:widowControl w:val="0"/>
        <w:rPr>
          <w:rFonts w:ascii="仿宋" w:hAnsi="仿宋" w:eastAsia="仿宋"/>
          <w:color w:val="333333"/>
          <w:sz w:val="28"/>
          <w:szCs w:val="28"/>
          <w:shd w:val="clear" w:color="auto" w:fill="FFFFFF"/>
          <w:lang w:eastAsia="zh-CN"/>
        </w:rPr>
      </w:pPr>
      <w:r>
        <w:rPr>
          <w:rFonts w:hint="eastAsia" w:ascii="仿宋" w:hAnsi="仿宋" w:eastAsia="仿宋"/>
          <w:color w:val="333333"/>
          <w:sz w:val="28"/>
          <w:szCs w:val="28"/>
          <w:shd w:val="clear" w:color="auto" w:fill="FFFFFF"/>
          <w:lang w:eastAsia="zh-CN"/>
        </w:rPr>
        <w:t xml:space="preserve">2）.应具备在线浏览及本地下载全文功能，提供统一的一框式检索、高级检索、专业检索。 </w:t>
      </w:r>
    </w:p>
    <w:p>
      <w:pPr>
        <w:widowControl w:val="0"/>
        <w:rPr>
          <w:rFonts w:ascii="仿宋" w:hAnsi="仿宋" w:eastAsia="仿宋"/>
          <w:sz w:val="28"/>
          <w:szCs w:val="28"/>
          <w:lang w:eastAsia="zh-CN"/>
        </w:rPr>
      </w:pPr>
      <w:r>
        <w:rPr>
          <w:rFonts w:hint="eastAsia" w:ascii="仿宋" w:hAnsi="仿宋" w:eastAsia="仿宋"/>
          <w:color w:val="333333"/>
          <w:sz w:val="28"/>
          <w:szCs w:val="28"/>
          <w:shd w:val="clear" w:color="auto" w:fill="FFFFFF"/>
          <w:lang w:eastAsia="zh-CN"/>
        </w:rPr>
        <w:t>3）.提供学科授予单位、导师、学科专业等分组功能。</w:t>
      </w:r>
    </w:p>
    <w:p>
      <w:pPr>
        <w:widowControl w:val="0"/>
        <w:rPr>
          <w:rFonts w:ascii="等线" w:hAnsi="等线" w:eastAsia="等线"/>
          <w:sz w:val="24"/>
          <w:lang w:eastAsia="zh-CN"/>
        </w:rPr>
      </w:pPr>
    </w:p>
    <w:p>
      <w:pPr>
        <w:keepNext/>
        <w:keepLines/>
        <w:widowControl w:val="0"/>
        <w:numPr>
          <w:ilvl w:val="0"/>
          <w:numId w:val="6"/>
        </w:numPr>
        <w:autoSpaceDE/>
        <w:autoSpaceDN/>
        <w:adjustRightInd/>
        <w:spacing w:before="260" w:after="260" w:line="413" w:lineRule="auto"/>
        <w:ind w:left="1080" w:hanging="720"/>
        <w:jc w:val="both"/>
        <w:outlineLvl w:val="2"/>
        <w:rPr>
          <w:rFonts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临床诊疗知识库</w:t>
      </w:r>
    </w:p>
    <w:p>
      <w:pPr>
        <w:keepNext/>
        <w:keepLines/>
        <w:widowControl w:val="0"/>
        <w:numPr>
          <w:ilvl w:val="0"/>
          <w:numId w:val="8"/>
        </w:numPr>
        <w:spacing w:before="280" w:beforeAutospacing="0" w:after="290" w:afterAutospacing="0" w:line="376" w:lineRule="auto"/>
        <w:ind w:left="420" w:hanging="420"/>
        <w:jc w:val="both"/>
        <w:outlineLvl w:val="3"/>
        <w:rPr>
          <w:rFonts w:hint="default" w:ascii="仿宋" w:hAnsi="仿宋" w:eastAsia="仿宋" w:cs="宋体"/>
          <w:b/>
          <w:kern w:val="0"/>
          <w:sz w:val="28"/>
          <w:szCs w:val="28"/>
          <w:lang w:val="en-US" w:eastAsia="zh-CN" w:bidi="ar-SA"/>
        </w:rPr>
      </w:pPr>
      <w:r>
        <w:rPr>
          <w:rFonts w:hint="eastAsia" w:ascii="仿宋" w:hAnsi="仿宋" w:eastAsia="仿宋" w:cs="宋体"/>
          <w:b/>
          <w:kern w:val="0"/>
          <w:sz w:val="28"/>
          <w:szCs w:val="28"/>
          <w:lang w:val="en-US" w:eastAsia="zh-CN" w:bidi="ar-SA"/>
        </w:rPr>
        <w:t>总体要求</w:t>
      </w:r>
    </w:p>
    <w:p>
      <w:pPr>
        <w:widowControl w:val="0"/>
        <w:numPr>
          <w:ilvl w:val="0"/>
          <w:numId w:val="9"/>
        </w:numPr>
        <w:spacing w:line="360" w:lineRule="auto"/>
        <w:ind w:left="420" w:hanging="42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临床诊疗知识库要能够用于进行常见病、多发病和各种疑难杂症的临床诊疗辅助和教学科研使用；</w:t>
      </w:r>
    </w:p>
    <w:p>
      <w:pPr>
        <w:widowControl w:val="0"/>
        <w:numPr>
          <w:ilvl w:val="0"/>
          <w:numId w:val="9"/>
        </w:numPr>
        <w:spacing w:line="360" w:lineRule="auto"/>
        <w:ind w:left="420" w:hanging="42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具备与我院信息系统进行深度对接的功能，可满足与医院信息系统对接需要，能够提供B/S和C/S两种模式下的接口文档（包括开放接口代码以及说明文档），具备嵌入到信息系统的医嘱、病历等各种医疗文书中。</w:t>
      </w:r>
    </w:p>
    <w:p>
      <w:pPr>
        <w:keepNext/>
        <w:keepLines/>
        <w:widowControl w:val="0"/>
        <w:numPr>
          <w:ilvl w:val="0"/>
          <w:numId w:val="8"/>
        </w:numPr>
        <w:spacing w:before="280" w:beforeAutospacing="0" w:after="290" w:afterAutospacing="0" w:line="376" w:lineRule="auto"/>
        <w:ind w:left="420" w:hanging="420"/>
        <w:jc w:val="both"/>
        <w:outlineLvl w:val="3"/>
        <w:rPr>
          <w:rFonts w:hint="default" w:ascii="仿宋" w:hAnsi="仿宋" w:eastAsia="仿宋" w:cs="宋体"/>
          <w:b/>
          <w:bCs/>
          <w:kern w:val="0"/>
          <w:sz w:val="28"/>
          <w:szCs w:val="28"/>
          <w:lang w:val="en-US" w:eastAsia="zh-CN" w:bidi="ar-SA"/>
        </w:rPr>
      </w:pPr>
      <w:r>
        <w:rPr>
          <w:rFonts w:hint="eastAsia" w:ascii="仿宋" w:hAnsi="仿宋" w:eastAsia="仿宋" w:cs="宋体"/>
          <w:b/>
          <w:bCs/>
          <w:kern w:val="0"/>
          <w:sz w:val="28"/>
          <w:szCs w:val="28"/>
          <w:lang w:val="en-US" w:eastAsia="zh-CN" w:bidi="ar-SA"/>
        </w:rPr>
        <w:t>内容要求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2"/>
        <w:gridCol w:w="1275"/>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pPr>
              <w:widowControl w:val="0"/>
              <w:spacing w:line="360" w:lineRule="auto"/>
              <w:jc w:val="center"/>
              <w:rPr>
                <w:rFonts w:ascii="仿宋" w:hAnsi="仿宋" w:eastAsia="仿宋" w:cs="宋体"/>
                <w:b/>
                <w:sz w:val="28"/>
                <w:szCs w:val="28"/>
                <w:lang w:eastAsia="zh-TW"/>
              </w:rPr>
            </w:pPr>
            <w:r>
              <w:rPr>
                <w:rFonts w:hint="eastAsia" w:ascii="仿宋" w:hAnsi="仿宋" w:eastAsia="仿宋" w:cs="宋体"/>
                <w:b/>
                <w:sz w:val="28"/>
                <w:szCs w:val="28"/>
                <w:lang w:eastAsia="zh-TW"/>
              </w:rPr>
              <w:t>资源类型</w:t>
            </w:r>
          </w:p>
        </w:tc>
        <w:tc>
          <w:tcPr>
            <w:tcW w:w="992" w:type="dxa"/>
            <w:vAlign w:val="center"/>
          </w:tcPr>
          <w:p>
            <w:pPr>
              <w:widowControl w:val="0"/>
              <w:spacing w:line="360" w:lineRule="auto"/>
              <w:jc w:val="center"/>
              <w:rPr>
                <w:rFonts w:ascii="仿宋" w:hAnsi="仿宋" w:eastAsia="仿宋" w:cs="宋体"/>
                <w:b/>
                <w:sz w:val="28"/>
                <w:szCs w:val="28"/>
                <w:lang w:eastAsia="zh-TW"/>
              </w:rPr>
            </w:pPr>
            <w:r>
              <w:rPr>
                <w:rFonts w:hint="eastAsia" w:ascii="仿宋" w:hAnsi="仿宋" w:eastAsia="仿宋" w:cs="宋体"/>
                <w:b/>
                <w:sz w:val="28"/>
                <w:szCs w:val="28"/>
                <w:lang w:eastAsia="zh-TW"/>
              </w:rPr>
              <w:t>子类</w:t>
            </w:r>
          </w:p>
        </w:tc>
        <w:tc>
          <w:tcPr>
            <w:tcW w:w="1275" w:type="dxa"/>
            <w:vAlign w:val="center"/>
          </w:tcPr>
          <w:p>
            <w:pPr>
              <w:widowControl w:val="0"/>
              <w:spacing w:line="360" w:lineRule="auto"/>
              <w:jc w:val="center"/>
              <w:rPr>
                <w:rFonts w:ascii="仿宋" w:hAnsi="仿宋" w:eastAsia="仿宋" w:cs="宋体"/>
                <w:b/>
                <w:sz w:val="28"/>
                <w:szCs w:val="28"/>
                <w:lang w:eastAsia="zh-TW"/>
              </w:rPr>
            </w:pPr>
            <w:r>
              <w:rPr>
                <w:rFonts w:hint="eastAsia" w:ascii="仿宋" w:hAnsi="仿宋" w:eastAsia="仿宋" w:cs="宋体"/>
                <w:b/>
                <w:sz w:val="28"/>
                <w:szCs w:val="28"/>
                <w:lang w:eastAsia="zh-TW"/>
              </w:rPr>
              <w:t>数量</w:t>
            </w:r>
          </w:p>
        </w:tc>
        <w:tc>
          <w:tcPr>
            <w:tcW w:w="5013" w:type="dxa"/>
            <w:vAlign w:val="center"/>
          </w:tcPr>
          <w:p>
            <w:pPr>
              <w:widowControl w:val="0"/>
              <w:spacing w:line="360" w:lineRule="auto"/>
              <w:jc w:val="center"/>
              <w:rPr>
                <w:rFonts w:ascii="仿宋" w:hAnsi="仿宋" w:eastAsia="仿宋" w:cs="宋体"/>
                <w:b/>
                <w:sz w:val="28"/>
                <w:szCs w:val="28"/>
                <w:lang w:eastAsia="zh-TW"/>
              </w:rPr>
            </w:pPr>
            <w:r>
              <w:rPr>
                <w:rFonts w:hint="eastAsia" w:ascii="仿宋" w:hAnsi="仿宋" w:eastAsia="仿宋" w:cs="宋体"/>
                <w:b/>
                <w:sz w:val="28"/>
                <w:szCs w:val="28"/>
                <w:lang w:eastAsia="zh-TW"/>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疾病库</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13大子类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4000余种</w:t>
            </w:r>
          </w:p>
        </w:tc>
        <w:tc>
          <w:tcPr>
            <w:tcW w:w="5013" w:type="dxa"/>
            <w:vAlign w:val="center"/>
          </w:tcPr>
          <w:p>
            <w:pPr>
              <w:widowControl w:val="0"/>
              <w:spacing w:line="360" w:lineRule="auto"/>
              <w:ind w:firstLine="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提供常见的临床疾病知识内容包括病因病例、诊断、治疗、预后、预防、随访等内容，疾病知识库撰写内容需完全解决著作权等知识产权，其中每一个知识词条需提供相应作者署名。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检查库</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5大子类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1000余种</w:t>
            </w:r>
          </w:p>
        </w:tc>
        <w:tc>
          <w:tcPr>
            <w:tcW w:w="5013" w:type="dxa"/>
            <w:vAlign w:val="center"/>
          </w:tcPr>
          <w:p>
            <w:pPr>
              <w:widowControl w:val="0"/>
              <w:spacing w:line="360" w:lineRule="auto"/>
              <w:ind w:firstLine="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提供临床常见实验室检查内容，内容包括检查描述、检查适应症、参考值、临床意义、标本要求、注意事项等。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药品库</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25大子类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1500余种药物，5000种说明书</w:t>
            </w:r>
          </w:p>
        </w:tc>
        <w:tc>
          <w:tcPr>
            <w:tcW w:w="5013" w:type="dxa"/>
            <w:vAlign w:val="center"/>
          </w:tcPr>
          <w:p>
            <w:pPr>
              <w:widowControl w:val="0"/>
              <w:spacing w:line="360" w:lineRule="auto"/>
              <w:ind w:firstLine="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提供临床药物使用说明，内容包括药理作用、适应症、用法用量、不良反应、禁忌症、注意事项、药物相互作用、用药说明、制剂与规格等。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指南规范</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5大子类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近万篇</w:t>
            </w:r>
          </w:p>
        </w:tc>
        <w:tc>
          <w:tcPr>
            <w:tcW w:w="5013" w:type="dxa"/>
            <w:vAlign w:val="center"/>
          </w:tcPr>
          <w:p>
            <w:pPr>
              <w:widowControl w:val="0"/>
              <w:spacing w:line="360" w:lineRule="auto"/>
              <w:jc w:val="left"/>
              <w:rPr>
                <w:rFonts w:ascii="仿宋" w:hAnsi="仿宋" w:eastAsia="仿宋" w:cs="宋体"/>
                <w:sz w:val="28"/>
                <w:szCs w:val="28"/>
                <w:lang w:eastAsia="zh-CN"/>
              </w:rPr>
            </w:pPr>
            <w:r>
              <w:rPr>
                <w:rFonts w:hint="eastAsia" w:ascii="仿宋" w:hAnsi="仿宋" w:eastAsia="仿宋" w:cs="宋体"/>
                <w:sz w:val="28"/>
                <w:szCs w:val="28"/>
                <w:lang w:eastAsia="zh-CN"/>
              </w:rPr>
              <w:t>提供临床指南数据库，包含来源中华医学会系列期刊刊载最新指南（截至2020年），内容按照指南、规范、共识，并提供全文。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循证文献</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9大子类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数百万余篇</w:t>
            </w:r>
          </w:p>
        </w:tc>
        <w:tc>
          <w:tcPr>
            <w:tcW w:w="5013" w:type="dxa"/>
            <w:vAlign w:val="center"/>
          </w:tcPr>
          <w:p>
            <w:pPr>
              <w:widowControl w:val="0"/>
              <w:spacing w:line="360" w:lineRule="auto"/>
              <w:jc w:val="left"/>
              <w:rPr>
                <w:rFonts w:ascii="仿宋" w:hAnsi="仿宋" w:eastAsia="仿宋" w:cs="宋体"/>
                <w:sz w:val="28"/>
                <w:szCs w:val="28"/>
                <w:lang w:eastAsia="zh-CN"/>
              </w:rPr>
            </w:pPr>
            <w:r>
              <w:rPr>
                <w:rFonts w:hint="eastAsia" w:ascii="仿宋" w:hAnsi="仿宋" w:eastAsia="仿宋" w:cs="宋体"/>
                <w:sz w:val="28"/>
                <w:szCs w:val="28"/>
                <w:lang w:eastAsia="zh-CN"/>
              </w:rPr>
              <w:t>提供循证文献数据库，包含来源中华医学会系列期刊刊载的最新循证文献（截至2020年），内容按照病因、预后、诊断、治疗、系统评价、队列研究、随机对照、病例研究等方式组织，并提供全文。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病例文献</w:t>
            </w:r>
          </w:p>
        </w:tc>
        <w:tc>
          <w:tcPr>
            <w:tcW w:w="992"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10大子类</w:t>
            </w:r>
          </w:p>
        </w:tc>
        <w:tc>
          <w:tcPr>
            <w:tcW w:w="1275" w:type="dxa"/>
            <w:vAlign w:val="center"/>
          </w:tcPr>
          <w:p>
            <w:pPr>
              <w:widowControl w:val="0"/>
              <w:spacing w:line="360" w:lineRule="auto"/>
              <w:jc w:val="left"/>
              <w:rPr>
                <w:rFonts w:ascii="仿宋" w:hAnsi="仿宋" w:eastAsia="仿宋" w:cs="宋体"/>
                <w:sz w:val="28"/>
                <w:szCs w:val="28"/>
                <w:lang w:eastAsia="zh-TW"/>
              </w:rPr>
            </w:pPr>
            <w:r>
              <w:rPr>
                <w:rFonts w:hint="eastAsia" w:ascii="仿宋" w:hAnsi="仿宋" w:eastAsia="仿宋" w:cs="宋体"/>
                <w:sz w:val="28"/>
                <w:szCs w:val="28"/>
                <w:lang w:eastAsia="zh-TW"/>
              </w:rPr>
              <w:t>上百万余篇</w:t>
            </w:r>
          </w:p>
        </w:tc>
        <w:tc>
          <w:tcPr>
            <w:tcW w:w="5013" w:type="dxa"/>
            <w:vAlign w:val="center"/>
          </w:tcPr>
          <w:p>
            <w:pPr>
              <w:widowControl w:val="0"/>
              <w:spacing w:line="360" w:lineRule="auto"/>
              <w:jc w:val="left"/>
              <w:rPr>
                <w:rFonts w:ascii="仿宋" w:hAnsi="仿宋" w:eastAsia="仿宋" w:cs="宋体"/>
                <w:sz w:val="28"/>
                <w:szCs w:val="28"/>
                <w:lang w:eastAsia="zh-CN"/>
              </w:rPr>
            </w:pPr>
            <w:r>
              <w:rPr>
                <w:rFonts w:hint="eastAsia" w:ascii="仿宋" w:hAnsi="仿宋" w:eastAsia="仿宋" w:cs="宋体"/>
                <w:sz w:val="28"/>
                <w:szCs w:val="28"/>
                <w:lang w:eastAsia="zh-CN"/>
              </w:rPr>
              <w:t>提供病例文献数据库，包含来源华医学会系列期刊刊载的最新病例文献（截至2020年）,内容按照病因、预后、诊断、治疗、多例报告、个案报告、病例分析、文献复习、循证病例、误诊误治等方式组织，并提供全文。</w:t>
            </w:r>
          </w:p>
        </w:tc>
      </w:tr>
    </w:tbl>
    <w:p>
      <w:pPr>
        <w:keepNext/>
        <w:keepLines/>
        <w:widowControl w:val="0"/>
        <w:numPr>
          <w:ilvl w:val="0"/>
          <w:numId w:val="8"/>
        </w:numPr>
        <w:spacing w:before="280" w:beforeAutospacing="0" w:after="290" w:afterAutospacing="0" w:line="376" w:lineRule="auto"/>
        <w:ind w:left="420" w:hanging="420"/>
        <w:jc w:val="both"/>
        <w:outlineLvl w:val="3"/>
        <w:rPr>
          <w:rFonts w:hint="default" w:ascii="仿宋" w:hAnsi="仿宋" w:eastAsia="仿宋" w:cs="宋体"/>
          <w:b/>
          <w:kern w:val="0"/>
          <w:sz w:val="28"/>
          <w:szCs w:val="28"/>
          <w:lang w:val="en-US" w:eastAsia="zh-CN" w:bidi="ar-SA"/>
        </w:rPr>
      </w:pPr>
      <w:r>
        <w:rPr>
          <w:rFonts w:hint="eastAsia" w:ascii="仿宋" w:hAnsi="仿宋" w:eastAsia="仿宋" w:cs="宋体"/>
          <w:b/>
          <w:kern w:val="0"/>
          <w:sz w:val="28"/>
          <w:szCs w:val="28"/>
          <w:lang w:val="en-US" w:eastAsia="zh-CN" w:bidi="ar-SA"/>
        </w:rPr>
        <w:t>功能要求</w:t>
      </w:r>
    </w:p>
    <w:p>
      <w:pPr>
        <w:widowControl w:val="0"/>
        <w:numPr>
          <w:ilvl w:val="0"/>
          <w:numId w:val="10"/>
        </w:numPr>
        <w:spacing w:line="360" w:lineRule="auto"/>
        <w:ind w:left="420" w:hanging="42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检索功能：提供知识库内容跨库检索，同时从疾病、检查、药品、症状、指南、循证文献、病例文献等不同类型资源的检，提供系统使用界面截图。</w:t>
      </w:r>
    </w:p>
    <w:p>
      <w:pPr>
        <w:widowControl w:val="0"/>
        <w:numPr>
          <w:ilvl w:val="0"/>
          <w:numId w:val="10"/>
        </w:numPr>
        <w:spacing w:line="360" w:lineRule="auto"/>
        <w:ind w:left="420" w:hanging="42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分类导航：提供疾病、药品、检查、指南、循证文献、病例文献库等分类导航方式，提供系统使用界面截图。</w:t>
      </w:r>
    </w:p>
    <w:p>
      <w:pPr>
        <w:widowControl w:val="0"/>
        <w:numPr>
          <w:ilvl w:val="0"/>
          <w:numId w:val="10"/>
        </w:numPr>
        <w:spacing w:line="360" w:lineRule="auto"/>
        <w:ind w:left="420" w:hanging="420" w:firstLineChars="0"/>
        <w:jc w:val="both"/>
        <w:rPr>
          <w:rFonts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可在手机微信端访问知识库，提供系统使用界面截图。</w:t>
      </w:r>
    </w:p>
    <w:p>
      <w:pPr>
        <w:keepNext/>
        <w:keepLines/>
        <w:widowControl w:val="0"/>
        <w:numPr>
          <w:ilvl w:val="0"/>
          <w:numId w:val="6"/>
        </w:numPr>
        <w:autoSpaceDE/>
        <w:autoSpaceDN/>
        <w:adjustRightInd/>
        <w:spacing w:before="260" w:after="260" w:line="413" w:lineRule="auto"/>
        <w:ind w:left="1080" w:hanging="720"/>
        <w:jc w:val="both"/>
        <w:outlineLvl w:val="2"/>
        <w:rPr>
          <w:rFonts w:ascii="仿宋" w:hAnsi="仿宋" w:eastAsia="仿宋" w:cs="宋体"/>
          <w:b/>
          <w:kern w:val="2"/>
          <w:sz w:val="28"/>
          <w:szCs w:val="28"/>
          <w:lang w:val="en-US" w:eastAsia="zh-CN" w:bidi="ar-SA"/>
        </w:rPr>
      </w:pPr>
      <w:r>
        <w:rPr>
          <w:rFonts w:hint="eastAsia" w:ascii="仿宋" w:hAnsi="仿宋" w:eastAsia="仿宋" w:cs="宋体"/>
          <w:b/>
          <w:kern w:val="2"/>
          <w:sz w:val="28"/>
          <w:szCs w:val="28"/>
          <w:lang w:val="en-US" w:eastAsia="zh-CN" w:bidi="ar-SA"/>
        </w:rPr>
        <w:t>微信移动图书馆</w:t>
      </w:r>
    </w:p>
    <w:p>
      <w:pPr>
        <w:widowControl w:val="0"/>
        <w:numPr>
          <w:ilvl w:val="0"/>
          <w:numId w:val="11"/>
        </w:numPr>
        <w:spacing w:line="360" w:lineRule="auto"/>
        <w:ind w:left="420" w:hanging="420"/>
        <w:rPr>
          <w:rFonts w:ascii="仿宋" w:hAnsi="仿宋" w:eastAsia="仿宋" w:cs="宋体"/>
          <w:sz w:val="28"/>
          <w:szCs w:val="28"/>
          <w:lang w:eastAsia="zh-CN"/>
        </w:rPr>
      </w:pPr>
      <w:r>
        <w:rPr>
          <w:rFonts w:hint="eastAsia" w:ascii="仿宋" w:hAnsi="仿宋" w:eastAsia="仿宋"/>
          <w:sz w:val="28"/>
          <w:szCs w:val="28"/>
          <w:lang w:eastAsia="zh-CN"/>
        </w:rPr>
        <w:t>微信移动图书馆可以与服务商平台对接，面向用户提供文献检索、</w:t>
      </w:r>
      <w:r>
        <w:rPr>
          <w:rFonts w:hint="eastAsia" w:ascii="仿宋" w:hAnsi="仿宋" w:eastAsia="仿宋" w:cs="宋体"/>
          <w:sz w:val="28"/>
          <w:szCs w:val="28"/>
          <w:lang w:eastAsia="zh-CN"/>
        </w:rPr>
        <w:t>期刊导航、在线阅读、收藏及下载等相关服务，使用户能够不受时间和空间的限制，随时随地享受移动图书馆提供的信息服务。</w:t>
      </w:r>
    </w:p>
    <w:p>
      <w:pPr>
        <w:widowControl w:val="0"/>
        <w:numPr>
          <w:ilvl w:val="0"/>
          <w:numId w:val="11"/>
        </w:numPr>
        <w:spacing w:line="360" w:lineRule="auto"/>
        <w:ind w:left="420" w:hanging="420"/>
        <w:rPr>
          <w:rFonts w:ascii="仿宋" w:hAnsi="仿宋" w:eastAsia="仿宋" w:cs="宋体"/>
          <w:sz w:val="28"/>
          <w:szCs w:val="28"/>
          <w:lang w:eastAsia="zh-CN"/>
        </w:rPr>
      </w:pPr>
      <w:r>
        <w:rPr>
          <w:rFonts w:hint="eastAsia" w:ascii="仿宋" w:hAnsi="仿宋" w:eastAsia="仿宋" w:cs="宋体"/>
          <w:sz w:val="28"/>
          <w:szCs w:val="28"/>
          <w:lang w:eastAsia="zh-CN"/>
        </w:rPr>
        <w:t>可与已注册的读者账号统一认证，无需读者重复注册。</w:t>
      </w:r>
    </w:p>
    <w:p>
      <w:pPr>
        <w:widowControl w:val="0"/>
        <w:numPr>
          <w:ilvl w:val="0"/>
          <w:numId w:val="11"/>
        </w:numPr>
        <w:spacing w:line="360" w:lineRule="auto"/>
        <w:ind w:left="420" w:hanging="420"/>
        <w:rPr>
          <w:rFonts w:ascii="仿宋" w:hAnsi="仿宋" w:eastAsia="仿宋" w:cs="宋体"/>
          <w:sz w:val="28"/>
          <w:szCs w:val="28"/>
          <w:lang w:eastAsia="zh-CN"/>
        </w:rPr>
      </w:pPr>
      <w:r>
        <w:rPr>
          <w:rFonts w:hint="eastAsia" w:ascii="仿宋" w:hAnsi="仿宋" w:eastAsia="仿宋" w:cs="宋体"/>
          <w:sz w:val="28"/>
          <w:szCs w:val="28"/>
          <w:lang w:eastAsia="zh-CN"/>
        </w:rPr>
        <w:t>提供适合不同手机阅读的资源（必须无版权问题），并能全文阅读、直接下载。</w:t>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11"/>
        <w:ind w:firstLine="0"/>
        <w:jc w:val="center"/>
        <w:rPr>
          <w:rFonts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2"/>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9"/>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eastAsia="仿宋"/>
              </w:rPr>
            </w:pPr>
            <w:r>
              <w:rPr>
                <w:rFonts w:hint="eastAsia" w:ascii="仿宋" w:hAnsi="仿宋" w:eastAsia="仿宋"/>
                <w:sz w:val="24"/>
              </w:rPr>
              <w:t>b。...</w:t>
            </w:r>
          </w:p>
          <w:p>
            <w:pPr>
              <w:numPr>
                <w:ilvl w:val="0"/>
                <w:numId w:val="12"/>
              </w:numPr>
              <w:spacing w:line="240" w:lineRule="atLeast"/>
              <w:rPr>
                <w:rFonts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13"/>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9"/>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ascii="仿宋" w:hAnsi="仿宋" w:eastAsia="仿宋"/>
          <w:sz w:val="32"/>
        </w:rPr>
      </w:pPr>
      <w:r>
        <w:rPr>
          <w:rFonts w:hint="eastAsia" w:ascii="仿宋" w:hAnsi="仿宋" w:eastAsia="仿宋"/>
          <w:sz w:val="32"/>
        </w:rPr>
        <w:t>签约时间：     年   月   日       签约地点：</w:t>
      </w:r>
    </w:p>
    <w:p>
      <w:pPr>
        <w:rPr>
          <w:rFonts w:ascii="仿宋" w:hAnsi="仿宋" w:eastAsia="仿宋" w:cs="仿宋"/>
          <w:sz w:val="24"/>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bookmarkEnd w:id="0"/>
      <w:r>
        <w:rPr>
          <w:rFonts w:hint="eastAsia" w:ascii="方正仿宋_GBK" w:hAnsi="方正仿宋_GBK" w:eastAsia="方正仿宋_GBK" w:cs="方正仿宋_GBK"/>
          <w:sz w:val="32"/>
          <w:szCs w:val="32"/>
        </w:rPr>
        <w:t xml:space="preserve">          </w:t>
      </w:r>
    </w:p>
    <w:p>
      <w:pPr>
        <w:keepNext/>
        <w:widowControl w:val="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重庆市第七人民医院议价报名表</w:t>
      </w:r>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941"/>
        <w:gridCol w:w="1431"/>
        <w:gridCol w:w="1449"/>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报名单位（加盖公章）</w:t>
            </w:r>
          </w:p>
        </w:tc>
        <w:tc>
          <w:tcPr>
            <w:tcW w:w="5965" w:type="dxa"/>
            <w:gridSpan w:val="3"/>
            <w:noWrap w:val="0"/>
            <w:vAlign w:val="top"/>
          </w:tcPr>
          <w:p>
            <w:pPr>
              <w:widowControl/>
              <w:spacing w:line="540" w:lineRule="exact"/>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企业规模</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企业性质</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注册资本金</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报名单位联系地址</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报名日期</w:t>
            </w:r>
          </w:p>
        </w:tc>
        <w:tc>
          <w:tcPr>
            <w:tcW w:w="5965" w:type="dxa"/>
            <w:gridSpan w:val="3"/>
            <w:noWrap w:val="0"/>
            <w:vAlign w:val="center"/>
          </w:tcPr>
          <w:p>
            <w:pPr>
              <w:widowControl/>
              <w:spacing w:line="540" w:lineRule="exact"/>
              <w:jc w:val="center"/>
              <w:rPr>
                <w:rFonts w:hint="eastAsia" w:ascii="仿宋" w:hAnsi="仿宋" w:eastAsia="仿宋"/>
                <w:sz w:val="28"/>
                <w:szCs w:val="28"/>
              </w:rPr>
            </w:pPr>
          </w:p>
          <w:p>
            <w:pPr>
              <w:widowControl/>
              <w:spacing w:line="540" w:lineRule="exact"/>
              <w:jc w:val="center"/>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报名项目名称</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报名项目编号</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联系人</w:t>
            </w:r>
          </w:p>
        </w:tc>
        <w:tc>
          <w:tcPr>
            <w:tcW w:w="2468" w:type="dxa"/>
            <w:gridSpan w:val="2"/>
            <w:noWrap w:val="0"/>
            <w:vAlign w:val="top"/>
          </w:tcPr>
          <w:p>
            <w:pPr>
              <w:widowControl/>
              <w:spacing w:line="540" w:lineRule="exact"/>
              <w:rPr>
                <w:rFonts w:hint="eastAsia" w:ascii="仿宋" w:hAnsi="仿宋" w:eastAsia="仿宋"/>
                <w:sz w:val="28"/>
                <w:szCs w:val="28"/>
              </w:rPr>
            </w:pPr>
          </w:p>
          <w:p>
            <w:pPr>
              <w:widowControl/>
              <w:spacing w:line="540" w:lineRule="exact"/>
              <w:rPr>
                <w:rFonts w:hint="eastAsia" w:ascii="仿宋" w:hAnsi="仿宋" w:eastAsia="仿宋"/>
                <w:sz w:val="28"/>
                <w:szCs w:val="28"/>
              </w:rPr>
            </w:pPr>
          </w:p>
        </w:tc>
        <w:tc>
          <w:tcPr>
            <w:tcW w:w="1491"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983" w:type="dxa"/>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05" w:type="dxa"/>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联系人地址</w:t>
            </w:r>
          </w:p>
        </w:tc>
        <w:tc>
          <w:tcPr>
            <w:tcW w:w="6942" w:type="dxa"/>
            <w:gridSpan w:val="4"/>
            <w:noWrap w:val="0"/>
            <w:vAlign w:val="top"/>
          </w:tcPr>
          <w:p>
            <w:pPr>
              <w:widowControl/>
              <w:spacing w:line="540" w:lineRule="exact"/>
              <w:rPr>
                <w:rFonts w:hint="eastAsia" w:ascii="仿宋" w:hAnsi="仿宋" w:eastAsia="仿宋"/>
                <w:sz w:val="28"/>
                <w:szCs w:val="28"/>
              </w:rPr>
            </w:pPr>
          </w:p>
        </w:tc>
      </w:tr>
    </w:tbl>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填表说明：一个项目对应填写此表一张，报名时与其他报名资料一并递交（请勿将此表装入响应文件密封）</w:t>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附件5：</w:t>
      </w:r>
    </w:p>
    <w:p>
      <w:pPr>
        <w:widowControl w:val="0"/>
        <w:tabs>
          <w:tab w:val="left" w:pos="6300"/>
        </w:tabs>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响应人廉洁承诺书</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为加强采购响应活动中的廉政建设。进一步规范采购响应市场、防止发生违法违规行为，体现公开、公平、公正的原则，根据国家有关法律、法规和廉政建设相关规定，本响应人特作出如下承诺：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1、不与采购人及其他响应人私下串通协商，进行围标、串标、抬标、控制响应价格。</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2、不向采购人、评标专家行贿，以不正当手段谋取成交。</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3、不向采购响应监管人员请客、送礼及组织其它有可能影响公正监管的活动。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5、成交后不订背离合同实质性内容的协议，不进行非法转包、违法分包等。</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如出现上述行为，本响应人自愿承担相关责任，接受招响应监督管理部门、纪检监察部门及司法机关调查处理。</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rPr>
          <w:rFonts w:ascii="方正仿宋_GBK" w:hAnsi="方正仿宋_GBK" w:eastAsia="方正仿宋_GBK" w:cs="方正仿宋_GBK"/>
          <w:sz w:val="32"/>
          <w:szCs w:val="32"/>
        </w:rPr>
      </w:pPr>
    </w:p>
    <w:p>
      <w:pPr>
        <w:widowControl w:val="0"/>
        <w:ind w:firstLine="1600" w:firstLineChars="500"/>
        <w:rPr>
          <w:sz w:val="32"/>
          <w:szCs w:val="32"/>
        </w:rPr>
      </w:pPr>
    </w:p>
    <w:p>
      <w:pPr>
        <w:rPr>
          <w:rFonts w:asciiTheme="minorEastAsia" w:hAnsiTheme="minorEastAsia" w:eastAsiaTheme="minorEastAsia" w:cstheme="minorEastAsia"/>
          <w:b/>
          <w:kern w:val="0"/>
          <w:sz w:val="32"/>
          <w:szCs w:val="32"/>
        </w:rPr>
      </w:pPr>
    </w:p>
    <w:p>
      <w:pPr>
        <w:adjustRightInd w:val="0"/>
        <w:spacing w:line="500" w:lineRule="exact"/>
        <w:rPr>
          <w:rFonts w:ascii="仿宋_GB2312" w:eastAsia="仿宋_GB2312"/>
          <w:color w:val="000000"/>
          <w:sz w:val="32"/>
          <w:szCs w:val="32"/>
        </w:rPr>
      </w:pPr>
    </w:p>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Style w:val="15"/>
                        <w:sz w:val="21"/>
                        <w:szCs w:val="21"/>
                      </w:rPr>
                    </w:pPr>
                    <w:r>
                      <w:rPr>
                        <w:rStyle w:val="15"/>
                        <w:rFonts w:hint="eastAsia" w:ascii="宋体" w:hAnsi="宋体"/>
                        <w:sz w:val="21"/>
                        <w:szCs w:val="21"/>
                      </w:rPr>
                      <w:t>―</w:t>
                    </w:r>
                    <w:r>
                      <w:fldChar w:fldCharType="begin"/>
                    </w:r>
                    <w:r>
                      <w:rPr>
                        <w:rStyle w:val="15"/>
                      </w:rPr>
                      <w:instrText xml:space="preserve">PAGE  </w:instrText>
                    </w:r>
                    <w:r>
                      <w:fldChar w:fldCharType="separate"/>
                    </w:r>
                    <w:r>
                      <w:rPr>
                        <w:rStyle w:val="15"/>
                      </w:rPr>
                      <w:t>1</w:t>
                    </w:r>
                    <w:r>
                      <w:fldChar w:fldCharType="end"/>
                    </w:r>
                    <w:r>
                      <w:rPr>
                        <w:rStyle w:val="15"/>
                        <w:rFonts w:hint="eastAsia" w:ascii="宋体" w:hAnsi="宋体"/>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7E385"/>
    <w:multiLevelType w:val="singleLevel"/>
    <w:tmpl w:val="8717E385"/>
    <w:lvl w:ilvl="0" w:tentative="0">
      <w:start w:val="3"/>
      <w:numFmt w:val="chineseCounting"/>
      <w:suff w:val="nothing"/>
      <w:lvlText w:val="（%1）"/>
      <w:lvlJc w:val="left"/>
      <w:rPr>
        <w:rFonts w:hint="eastAsia"/>
      </w:rPr>
    </w:lvl>
  </w:abstractNum>
  <w:abstractNum w:abstractNumId="1">
    <w:nsid w:val="B6D48E1A"/>
    <w:multiLevelType w:val="singleLevel"/>
    <w:tmpl w:val="B6D48E1A"/>
    <w:lvl w:ilvl="0" w:tentative="0">
      <w:start w:val="3"/>
      <w:numFmt w:val="chineseCounting"/>
      <w:suff w:val="nothing"/>
      <w:lvlText w:val="%1、"/>
      <w:lvlJc w:val="left"/>
      <w:rPr>
        <w:rFonts w:hint="eastAsia"/>
      </w:rPr>
    </w:lvl>
  </w:abstractNum>
  <w:abstractNum w:abstractNumId="2">
    <w:nsid w:val="D0D27D82"/>
    <w:multiLevelType w:val="singleLevel"/>
    <w:tmpl w:val="D0D27D82"/>
    <w:lvl w:ilvl="0" w:tentative="0">
      <w:start w:val="1"/>
      <w:numFmt w:val="chineseCounting"/>
      <w:suff w:val="nothing"/>
      <w:lvlText w:val="（%1）"/>
      <w:lvlJc w:val="left"/>
      <w:rPr>
        <w:rFonts w:hint="eastAsia"/>
      </w:rPr>
    </w:lvl>
  </w:abstractNum>
  <w:abstractNum w:abstractNumId="3">
    <w:nsid w:val="E57E5B16"/>
    <w:multiLevelType w:val="singleLevel"/>
    <w:tmpl w:val="E57E5B16"/>
    <w:lvl w:ilvl="0" w:tentative="0">
      <w:start w:val="6"/>
      <w:numFmt w:val="chineseCounting"/>
      <w:suff w:val="nothing"/>
      <w:lvlText w:val="%1、"/>
      <w:lvlJc w:val="left"/>
      <w:rPr>
        <w:rFonts w:hint="eastAsia"/>
      </w:rPr>
    </w:lvl>
  </w:abstractNum>
  <w:abstractNum w:abstractNumId="4">
    <w:nsid w:val="F130D621"/>
    <w:multiLevelType w:val="singleLevel"/>
    <w:tmpl w:val="F130D621"/>
    <w:lvl w:ilvl="0" w:tentative="0">
      <w:start w:val="2"/>
      <w:numFmt w:val="decimal"/>
      <w:lvlText w:val="%1."/>
      <w:lvlJc w:val="left"/>
      <w:pPr>
        <w:tabs>
          <w:tab w:val="left" w:pos="312"/>
        </w:tabs>
      </w:pPr>
    </w:lvl>
  </w:abstractNum>
  <w:abstractNum w:abstractNumId="5">
    <w:nsid w:val="F75000E2"/>
    <w:multiLevelType w:val="singleLevel"/>
    <w:tmpl w:val="F75000E2"/>
    <w:lvl w:ilvl="0" w:tentative="0">
      <w:start w:val="2"/>
      <w:numFmt w:val="chineseCounting"/>
      <w:suff w:val="nothing"/>
      <w:lvlText w:val="%1、"/>
      <w:lvlJc w:val="left"/>
      <w:rPr>
        <w:rFonts w:hint="eastAsia"/>
      </w:rPr>
    </w:lvl>
  </w:abstractNum>
  <w:abstractNum w:abstractNumId="6">
    <w:nsid w:val="08097DA3"/>
    <w:multiLevelType w:val="multilevel"/>
    <w:tmpl w:val="08097D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C35474"/>
    <w:multiLevelType w:val="multilevel"/>
    <w:tmpl w:val="0FC3547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85373D"/>
    <w:multiLevelType w:val="multilevel"/>
    <w:tmpl w:val="288537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630274"/>
    <w:multiLevelType w:val="multilevel"/>
    <w:tmpl w:val="3463027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BA20A7"/>
    <w:multiLevelType w:val="multilevel"/>
    <w:tmpl w:val="45BA20A7"/>
    <w:lvl w:ilvl="0" w:tentative="0">
      <w:start w:val="2"/>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59A6C014"/>
    <w:multiLevelType w:val="singleLevel"/>
    <w:tmpl w:val="59A6C014"/>
    <w:lvl w:ilvl="0" w:tentative="0">
      <w:start w:val="1"/>
      <w:numFmt w:val="decimal"/>
      <w:lvlText w:val="%1)"/>
      <w:lvlJc w:val="left"/>
      <w:pPr>
        <w:ind w:left="425" w:hanging="425"/>
      </w:pPr>
      <w:rPr>
        <w:rFonts w:hint="default" w:ascii="宋体" w:hAnsi="宋体" w:eastAsia="宋体"/>
      </w:rPr>
    </w:lvl>
  </w:abstractNum>
  <w:abstractNum w:abstractNumId="12">
    <w:nsid w:val="59A6C29F"/>
    <w:multiLevelType w:val="singleLevel"/>
    <w:tmpl w:val="59A6C29F"/>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 w:numId="5">
    <w:abstractNumId w:val="11"/>
  </w:num>
  <w:num w:numId="6">
    <w:abstractNumId w:val="10"/>
  </w:num>
  <w:num w:numId="7">
    <w:abstractNumId w:val="12"/>
  </w:num>
  <w:num w:numId="8">
    <w:abstractNumId w:val="8"/>
  </w:num>
  <w:num w:numId="9">
    <w:abstractNumId w:val="9"/>
  </w:num>
  <w:num w:numId="10">
    <w:abstractNumId w:val="7"/>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1E7063"/>
    <w:rsid w:val="002174DA"/>
    <w:rsid w:val="00231038"/>
    <w:rsid w:val="002E2472"/>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C01392"/>
    <w:rsid w:val="00DC1D9C"/>
    <w:rsid w:val="00DF0A3D"/>
    <w:rsid w:val="00E83911"/>
    <w:rsid w:val="00EB12CE"/>
    <w:rsid w:val="00EB719E"/>
    <w:rsid w:val="00FB0988"/>
    <w:rsid w:val="00FC0264"/>
    <w:rsid w:val="01AB4636"/>
    <w:rsid w:val="03FD0656"/>
    <w:rsid w:val="05DE40E2"/>
    <w:rsid w:val="07E766AB"/>
    <w:rsid w:val="089937F9"/>
    <w:rsid w:val="08A5729E"/>
    <w:rsid w:val="09503018"/>
    <w:rsid w:val="09E275B0"/>
    <w:rsid w:val="0E541822"/>
    <w:rsid w:val="0EB04865"/>
    <w:rsid w:val="0EB35C76"/>
    <w:rsid w:val="11C40402"/>
    <w:rsid w:val="14E404D7"/>
    <w:rsid w:val="18CB65A7"/>
    <w:rsid w:val="1995535F"/>
    <w:rsid w:val="1B1C2649"/>
    <w:rsid w:val="1C0A00F8"/>
    <w:rsid w:val="1CDA594C"/>
    <w:rsid w:val="20035C09"/>
    <w:rsid w:val="221D4B87"/>
    <w:rsid w:val="22505002"/>
    <w:rsid w:val="22A577D8"/>
    <w:rsid w:val="2313607F"/>
    <w:rsid w:val="23B577E3"/>
    <w:rsid w:val="27230617"/>
    <w:rsid w:val="29BB47DA"/>
    <w:rsid w:val="2B7D1AEC"/>
    <w:rsid w:val="2E5A24D9"/>
    <w:rsid w:val="2F1871F6"/>
    <w:rsid w:val="31431525"/>
    <w:rsid w:val="31A91E4C"/>
    <w:rsid w:val="3301206E"/>
    <w:rsid w:val="33437C98"/>
    <w:rsid w:val="339E1158"/>
    <w:rsid w:val="360E0E58"/>
    <w:rsid w:val="381861D7"/>
    <w:rsid w:val="38292CB2"/>
    <w:rsid w:val="3B206F2B"/>
    <w:rsid w:val="3BAC7ADE"/>
    <w:rsid w:val="3E141301"/>
    <w:rsid w:val="42653EB6"/>
    <w:rsid w:val="44363490"/>
    <w:rsid w:val="44407168"/>
    <w:rsid w:val="450F2B8A"/>
    <w:rsid w:val="45562EE9"/>
    <w:rsid w:val="4A0608CE"/>
    <w:rsid w:val="4A6D2AC8"/>
    <w:rsid w:val="4C360DFA"/>
    <w:rsid w:val="4DF37D3C"/>
    <w:rsid w:val="4EB751B5"/>
    <w:rsid w:val="4EFA4617"/>
    <w:rsid w:val="524238D7"/>
    <w:rsid w:val="545E2BF9"/>
    <w:rsid w:val="55892DE2"/>
    <w:rsid w:val="565D1683"/>
    <w:rsid w:val="571B63BD"/>
    <w:rsid w:val="57965D7D"/>
    <w:rsid w:val="59C17C96"/>
    <w:rsid w:val="59D66BE0"/>
    <w:rsid w:val="59E02EC7"/>
    <w:rsid w:val="5A7377AB"/>
    <w:rsid w:val="5A962C5C"/>
    <w:rsid w:val="5B114932"/>
    <w:rsid w:val="5B6633FF"/>
    <w:rsid w:val="5BC42239"/>
    <w:rsid w:val="5C4E666D"/>
    <w:rsid w:val="5DA95CAD"/>
    <w:rsid w:val="5DD6518E"/>
    <w:rsid w:val="5DFB4CE4"/>
    <w:rsid w:val="5FA1566C"/>
    <w:rsid w:val="60286C55"/>
    <w:rsid w:val="60B630F6"/>
    <w:rsid w:val="65854C2C"/>
    <w:rsid w:val="67C22482"/>
    <w:rsid w:val="67C47E88"/>
    <w:rsid w:val="69677F3E"/>
    <w:rsid w:val="6A0E3681"/>
    <w:rsid w:val="6E595C87"/>
    <w:rsid w:val="6F5F167C"/>
    <w:rsid w:val="70294DB9"/>
    <w:rsid w:val="70476556"/>
    <w:rsid w:val="70624233"/>
    <w:rsid w:val="71AF3DF6"/>
    <w:rsid w:val="73B10B3B"/>
    <w:rsid w:val="74300697"/>
    <w:rsid w:val="762A12C7"/>
    <w:rsid w:val="76625F3B"/>
    <w:rsid w:val="77273414"/>
    <w:rsid w:val="77B44847"/>
    <w:rsid w:val="77C203B2"/>
    <w:rsid w:val="7A237697"/>
    <w:rsid w:val="7AF774FE"/>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3">
    <w:name w:val="heading 2"/>
    <w:next w:val="4"/>
    <w:qFormat/>
    <w:uiPriority w:val="0"/>
    <w:pPr>
      <w:keepNext/>
      <w:keepLines/>
      <w:widowControl w:val="0"/>
      <w:spacing w:before="260" w:after="260" w:line="416" w:lineRule="auto"/>
      <w:jc w:val="both"/>
      <w:outlineLvl w:val="1"/>
    </w:pPr>
    <w:rPr>
      <w:rFonts w:ascii="黑体" w:hAnsi="Arial" w:eastAsia="黑体" w:cs="Times New Roman"/>
      <w:b/>
      <w:kern w:val="2"/>
      <w:sz w:val="28"/>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pPr>
      <w:adjustRightInd w:val="0"/>
      <w:snapToGrid w:val="0"/>
      <w:spacing w:line="360" w:lineRule="auto"/>
    </w:pPr>
    <w:rPr>
      <w:rFonts w:ascii="宋体" w:hAnsi="Courier New"/>
      <w:szCs w:val="20"/>
    </w:rPr>
  </w:style>
  <w:style w:type="paragraph" w:styleId="6">
    <w:name w:val="Balloon Text"/>
    <w:basedOn w:val="1"/>
    <w:unhideWhenUsed/>
    <w:qFormat/>
    <w:uiPriority w:val="99"/>
    <w:rPr>
      <w:sz w:val="18"/>
      <w:szCs w:val="18"/>
    </w:rPr>
  </w:style>
  <w:style w:type="paragraph" w:styleId="7">
    <w:name w:val="footer"/>
    <w:basedOn w:val="1"/>
    <w:link w:val="16"/>
    <w:qFormat/>
    <w:uiPriority w:val="0"/>
    <w:pPr>
      <w:widowControl w:val="0"/>
      <w:tabs>
        <w:tab w:val="center" w:pos="4153"/>
        <w:tab w:val="right" w:pos="8306"/>
      </w:tabs>
      <w:snapToGrid w:val="0"/>
      <w:jc w:val="left"/>
    </w:pPr>
    <w:rPr>
      <w:sz w:val="18"/>
      <w:szCs w:val="18"/>
    </w:rPr>
  </w:style>
  <w:style w:type="paragraph" w:styleId="8">
    <w:name w:val="header"/>
    <w:basedOn w:val="1"/>
    <w:link w:val="18"/>
    <w:qFormat/>
    <w:uiPriority w:val="0"/>
    <w:pPr>
      <w:widowControl w:val="0"/>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val="0"/>
      <w:spacing w:before="120" w:after="120"/>
      <w:jc w:val="left"/>
    </w:pPr>
    <w:rPr>
      <w:rFonts w:ascii="Calibri" w:hAnsi="Calibri"/>
      <w:b/>
      <w:bCs/>
      <w:caps/>
      <w:sz w:val="20"/>
      <w:szCs w:val="20"/>
    </w:rPr>
  </w:style>
  <w:style w:type="paragraph" w:styleId="10">
    <w:name w:val="Subtitle"/>
    <w:next w:val="1"/>
    <w:qFormat/>
    <w:uiPriority w:val="11"/>
    <w:pPr>
      <w:widowControl w:val="0"/>
      <w:spacing w:after="60"/>
      <w:jc w:val="center"/>
      <w:outlineLvl w:val="1"/>
    </w:pPr>
    <w:rPr>
      <w:rFonts w:ascii="Cambria" w:hAnsi="Cambria" w:eastAsia="等线" w:cs="Times New Roman"/>
      <w:kern w:val="2"/>
      <w:sz w:val="21"/>
      <w:szCs w:val="24"/>
      <w:lang w:val="en-US" w:eastAsia="zh-CN" w:bidi="ar-SA"/>
    </w:rPr>
  </w:style>
  <w:style w:type="paragraph" w:styleId="11">
    <w:name w:val="Body Text First Indent"/>
    <w:basedOn w:val="2"/>
    <w:qFormat/>
    <w:uiPriority w:val="0"/>
    <w:pPr>
      <w:spacing w:line="360" w:lineRule="auto"/>
      <w:ind w:firstLine="420"/>
    </w:pPr>
    <w:rPr>
      <w:rFonts w:ascii="宋体" w:hAnsi="宋体"/>
      <w:sz w:val="24"/>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customStyle="1" w:styleId="16">
    <w:name w:val="页脚 Char"/>
    <w:link w:val="7"/>
    <w:qFormat/>
    <w:uiPriority w:val="0"/>
    <w:rPr>
      <w:kern w:val="2"/>
      <w:sz w:val="18"/>
      <w:szCs w:val="18"/>
    </w:rPr>
  </w:style>
  <w:style w:type="character" w:customStyle="1" w:styleId="17">
    <w:name w:val="页脚 Char1"/>
    <w:basedOn w:val="14"/>
    <w:qFormat/>
    <w:uiPriority w:val="0"/>
    <w:rPr>
      <w:kern w:val="2"/>
      <w:sz w:val="18"/>
      <w:szCs w:val="18"/>
    </w:rPr>
  </w:style>
  <w:style w:type="character" w:customStyle="1" w:styleId="18">
    <w:name w:val="页眉 Char"/>
    <w:basedOn w:val="14"/>
    <w:link w:val="8"/>
    <w:qFormat/>
    <w:uiPriority w:val="0"/>
    <w:rPr>
      <w:kern w:val="2"/>
      <w:sz w:val="18"/>
      <w:szCs w:val="18"/>
    </w:rPr>
  </w:style>
  <w:style w:type="paragraph" w:styleId="19">
    <w:name w:val="List Paragraph"/>
    <w:basedOn w:val="1"/>
    <w:qFormat/>
    <w:uiPriority w:val="0"/>
    <w:pPr>
      <w:widowControl w:val="0"/>
      <w:spacing w:line="360" w:lineRule="auto"/>
      <w:ind w:left="839" w:firstLine="420" w:firstLineChars="200"/>
    </w:pPr>
    <w:rPr>
      <w:rFonts w:ascii="Calibri" w:hAnsi="Calibri"/>
    </w:rPr>
  </w:style>
  <w:style w:type="table" w:customStyle="1" w:styleId="20">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1159</Words>
  <Characters>6611</Characters>
  <Lines>55</Lines>
  <Paragraphs>15</Paragraphs>
  <TotalTime>1</TotalTime>
  <ScaleCrop>false</ScaleCrop>
  <LinksUpToDate>false</LinksUpToDate>
  <CharactersWithSpaces>7755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2021-07-07T00:08:00Z</cp:lastPrinted>
  <dcterms:modified xsi:type="dcterms:W3CDTF">2023-07-03T02:36:04Z</dcterms:modified>
  <dc:title>重庆市第七人民医院单一来源采购报价表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