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提供化妆服务时间：2023年8月15日。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化妆服务人数：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结合舞蹈内容及演出服装提供演出人员妆容服务及头饰造型等。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需提供化妆师不低于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4人。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>付款方式：8月15日表演结束后，收到供应商发票后7个工作日内支付服务费用。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B8334"/>
    <w:multiLevelType w:val="singleLevel"/>
    <w:tmpl w:val="52BB83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267EC"/>
    <w:rsid w:val="34933C34"/>
    <w:rsid w:val="3878648E"/>
    <w:rsid w:val="41DB0E00"/>
    <w:rsid w:val="4AAA2223"/>
    <w:rsid w:val="4F692D37"/>
    <w:rsid w:val="51574E31"/>
    <w:rsid w:val="5B4C5066"/>
    <w:rsid w:val="64644F0F"/>
    <w:rsid w:val="6AB32F75"/>
    <w:rsid w:val="6C7F27E1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2023-08-10T09:30:24Z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