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另需提供明细报价，格式自拟</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ind w:firstLine="643" w:firstLineChars="200"/>
        <w:rPr>
          <w:rFonts w:hint="default"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质保服务</w:t>
      </w:r>
      <w:bookmarkStart w:id="0" w:name="_GoBack"/>
      <w:bookmarkEnd w:id="0"/>
      <w:r>
        <w:rPr>
          <w:rFonts w:hint="eastAsia" w:ascii="仿宋_GB2312" w:eastAsia="仿宋_GB2312"/>
          <w:b/>
          <w:bCs/>
          <w:sz w:val="32"/>
          <w:szCs w:val="28"/>
          <w:highlight w:val="none"/>
          <w:lang w:val="en-US" w:eastAsia="zh-CN"/>
        </w:rPr>
        <w:t>承诺函</w:t>
      </w:r>
    </w:p>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B734400"/>
    <w:rsid w:val="25C841D1"/>
    <w:rsid w:val="2F290AF4"/>
    <w:rsid w:val="428F2B24"/>
    <w:rsid w:val="5BCA4F3F"/>
    <w:rsid w:val="6A066F99"/>
    <w:rsid w:val="6E88088E"/>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2023-09-06T03:38:57Z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