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28"/>
          <w:szCs w:val="28"/>
        </w:rPr>
        <w:t>一般资质文件内容要求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5.参加政府采购活动前三年内，在经营活动中没有重大违法记录。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firstLine="640" w:firstLineChars="200"/>
        <w:jc w:val="both"/>
        <w:textAlignment w:val="auto"/>
        <w:outlineLvl w:val="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1.按照医院要求完成应用相关服务接入渝康健平台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2.国家、市区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政策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发生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变化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时，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及时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完成接入渝康健平台需要同步调整的相关服务改造。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Hans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</w:pPr>
      <w:bookmarkStart w:id="1" w:name="_GoBack"/>
      <w:bookmarkStart w:id="0" w:name="_Toc25689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实施时间、实施地点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实施时间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接到医院通知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个日历日内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完成改造调试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安装调试完成后，以采购方出具验收报告视为最终验收。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（二）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最高限价及报价要求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1.项目最高限价￥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30000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元（大写：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叁万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2.本次报价须为人民币报价，包含：人工、设备、材料、产品基价、税费（含关税）、差旅费、安装调试等一切与此项目有关的所有费用。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（三）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质保要求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验收通过之日起质保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年。质保期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免费完成因政策变化导致的渝康健相关接入改造。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2.质保期内，中标方应在接到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运维需求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后，应在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小时内进行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处理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，特殊情况甲乙双方应尊重当时事实情况商定。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（四）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调试安装完毕，验收合格之后，收到供应商发票后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工作日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内支付合同金额的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95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；验收通过三年质保期满后支付合同金额的5%（不计息）。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bookmarkEnd w:id="1"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C34"/>
    <w:rsid w:val="4AAA2223"/>
    <w:rsid w:val="4F692D37"/>
    <w:rsid w:val="51574E31"/>
    <w:rsid w:val="64644F0F"/>
    <w:rsid w:val="6AB32F75"/>
    <w:rsid w:val="771633A7"/>
    <w:rsid w:val="7F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after="156" w:afterLines="50" w:line="800" w:lineRule="atLeast"/>
      <w:jc w:val="center"/>
      <w:outlineLvl w:val="0"/>
    </w:pPr>
    <w:rPr>
      <w:rFonts w:eastAsia="黑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列表段落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2023-10-16T03:27:18Z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E31F75A57A5B4881B857F0A58C55AFC6</vt:lpwstr>
  </property>
</Properties>
</file>