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我院</w:t>
      </w:r>
      <w:r>
        <w:rPr>
          <w:rFonts w:hint="eastAsia"/>
          <w:sz w:val="32"/>
          <w:szCs w:val="32"/>
          <w:lang w:eastAsia="zh-CN"/>
        </w:rPr>
        <w:t>各科</w:t>
      </w:r>
      <w:r>
        <w:rPr>
          <w:rFonts w:hint="eastAsia"/>
          <w:sz w:val="32"/>
          <w:szCs w:val="32"/>
        </w:rPr>
        <w:t>拟购买</w:t>
      </w:r>
      <w:r>
        <w:rPr>
          <w:rFonts w:hint="eastAsia"/>
          <w:sz w:val="32"/>
          <w:szCs w:val="32"/>
          <w:lang w:eastAsia="zh-CN"/>
        </w:rPr>
        <w:t>医疗设备1批</w:t>
      </w:r>
      <w:r>
        <w:rPr>
          <w:rFonts w:hint="eastAsia"/>
          <w:sz w:val="32"/>
          <w:szCs w:val="32"/>
        </w:rPr>
        <w:t>，主要技术参数及商务需求附后。有意向参与市场调研的供应商，请于2023年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日上午12：00前，将纸质资料交医院采购工作组。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一、设备主要技术参数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（一）</w:t>
      </w:r>
      <w:r>
        <w:rPr>
          <w:rFonts w:hint="eastAsia"/>
          <w:sz w:val="32"/>
          <w:szCs w:val="32"/>
          <w:lang w:val="en-US" w:eastAsia="zh-CN"/>
        </w:rPr>
        <w:t>气动式高频振荡排痰系统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屏幕规格4.3寸高清屏幕，全中文导航，触摸按键；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训练模式：手动模式，多种自动模式；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手动模式具备自定义功能，自动保存上次参数；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性能参数：频率为1-22Hz,连续可调；最大压力35mmHg，连续可调，时间步距为1min，连续可调，常规治疗时间为10min；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自动模式：至少具备成人模式、老人模式、重症模式、儿童模式；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导气软管连接得可靠性：设备连接软管应连接可靠牢固。连接力不小于20N管路与设备和充气气囊不分离。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设备具备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泄压功能：在泄压启动后，充气气囊压力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在10s内从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最大压力下降到0.2kPa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双重电源保护功能；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具备设备累计工作时间查询功能；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工作噪音：设备在正常工作时，噪声不超过65dB（A）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本产品通过国家行业标准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YY/T 1685-2020《气动脉冲振荡排痰设备》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12、厂家可提供多种可拆卸背心规格（XXS、XSS、XS、S、M、L）供医院选择，另有单层背心、束带可选，配件至少满足3个月至肥胖成人的使用；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充气背心具备腹部防振动结构，除可拆卸背心外，可配备可拆卸内衬避免交叉感染；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（二）光学干涉断层成像系统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1、回撤时间距离：超长回撤模式2.5s内完成90mm血管的回撤；高清扫描模式3s内完成54mm血管的回撤；高速扫描模式2s内完成54mm血管的回撤。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2、最大回撤距离：90mm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3、光源扫描速率：＞99kHz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4、主机光学灵敏度：＞100dB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5、焦距：2.2mm±0.2mm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6、可分辨离焦距离：1.4mm±0.2mm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7、旋转失真缺口最大值：＜0.2mm</w:t>
      </w:r>
    </w:p>
    <w:p>
      <w:pPr>
        <w:numPr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（三）剪切波组织定量超声诊断仪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1、超声诊断功能：集成影像功能，用于人体腹部、盆腔脏器的超声诊断。使用独立的二维影像探头进行二维成像，可以实现肝脏组织的形态结构检查。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2、利用瞬时弹性成像技术来评估肝脏的硬度；利用超声衰减理论来评估肝组织的脂肪变数值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3、探头组成方式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影像引导探头与纤维扫描探头连接同一台主机及控制中心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4、探头剪切波触动方式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脚踏开关触发探头剪切波发射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5、自由臂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左右旋转≥90º；上下俯仰≥15º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6、纤维扫描探头接口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1个；影像引导探头接口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7、纤维扫描功能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数字化肝纤维诊断模块。穿刺引导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支持穿刺引导，具有穿刺线校正功能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8、显示模式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A/M/E；B、B/B、4B、B/M、M、PWD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9、适用于全人群的纤维化探头，仅应用一个探头即可适用于儿童、普通人群和肥胖人群。探头前端直径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≤8mm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</w:t>
      </w:r>
      <w:r>
        <w:rPr>
          <w:rFonts w:hint="eastAsia"/>
          <w:sz w:val="32"/>
          <w:szCs w:val="32"/>
          <w:lang w:eastAsia="zh-CN"/>
        </w:rPr>
        <w:t>医用</w:t>
      </w:r>
      <w:r>
        <w:rPr>
          <w:rFonts w:hint="eastAsia"/>
          <w:sz w:val="32"/>
          <w:szCs w:val="32"/>
        </w:rPr>
        <w:t>血液冷藏箱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温度控制：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1、采用微电脑控制系统，温度数字显示，确保精确稳定运行；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2、精准的电子温度控制，精度达到0.1℃；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3、标配热敏打印机，可以实时或定期打印温度数据；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4、优秀的制冷布局，箱内温度稳定在4±2℃范围内；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6、感温盒设计，模拟显示样本真实温度，提供试剂、药品所需的稳定存储环境。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制冷系统：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1、采用进口品牌压缩机，无氟环保高效制冷剂，制冷速度快，制冷效率高，耗电量低；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2、铜管铝翅片式蒸发器配合背吹循环风冷系统设计，确保冷藏箱内部温度恒定；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3、高密度保温发泡层采用聚氨酯环戊烷发泡剂，保温效果好。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安全保障：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1、具备箱内高低温报警、传感器故障报警、断电报警（支持72小时）、开关门异常报警功能；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2、具备声音蜂鸣和灯光闪烁双重报警方式；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3、温控器测点双显示双控制运行模式；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4、断电保护：延时启动功能，避免电网恢复供电时多台设备同时启动导致断路器保护。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（五）输尿管内窥镜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1. 镜管插入头部直径 6Fr*7.5Fr，器械通道可通过 1x4Fr/2x2.4Fr，工 作长度 430mm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2. 一体化镜身镜桥，确保产品密封性，可承受术中操作范围的弯曲需 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3. 蓝宝石镜头，及采用进口高清传像束，色彩自然逼真，图像高清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4. 采用镜桥双阀门设计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5. 内窥镜的耐腐蚀性要求应符合 YY/T0149-2006 中沸水实验法的试验 评价为“a 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6. 导光束可适配 Wolf、Olympus、Storz 等众多品牌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7. 适用于医院所有硬镜摄像系统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（六）流式细胞仪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1、配备红激光（638nm）和蓝激光（488 nm）半导体激光器，可检测6色荧光；蓝激光（488 nm）的荧光通道：FITC、PE、PerCP-Cy5.5、PE-Cy7；红激光（638nm）的荧光通道：APC、APC-Cy7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2、检测器：采用 PMT 检测器非APD检测器；结构及光学系统设计方面，可向上升级至双激光8色荧光配置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3、荧光灵敏度：FITC≤40MESF、PE≤20MESF、APC≤20MESF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4、荧光检测线性：≥0.99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5、全峰宽度变异系数：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全通道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CV ≤ 2%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6、采样速度：最高可达65000 events/s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7、数据数字采集：动态数据采集范围可达7.2个数量级。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8、绝对计数：可实现体积法绝对计数，精确度高 ，CV&lt;3%；同时兼容微球法绝对计数。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9、可检测颗粒直径范围： 0.1~50um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10、交叉污染：≤0.1%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11、上样方式：采用连续液流泵作为液流驱动源，而非蠕动泵或者注射泵上样，样本上样体积不受限制，且不产生管路耗材。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12、样本流速:预设定高中低三种进样速度，且用户可进行上样速度的自定义调节， 自定义调节范围：5μL/min -120μL/min。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13、自动上样：适配 40 孔流式管盘、96孔板自动上样，并能对样本进行上样前自动混匀。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14、液路维护：自动清洗、试剂余量监测报警、自动故障报警、液路自清洁、自动待机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15、电压调节：可以根据样本特点对电压进行调节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 xml:space="preserve">16、补偿：全矩阵补偿，自动补偿和手动补偿， 具备补偿库功能。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17、仪器检测过程中，样本耗尽自动报警</w:t>
      </w:r>
    </w:p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（七）</w:t>
      </w:r>
      <w:r>
        <w:rPr>
          <w:rFonts w:hint="eastAsia"/>
          <w:sz w:val="32"/>
          <w:szCs w:val="32"/>
        </w:rPr>
        <w:t>全自动二维液相色谱系统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1、检测方法：高效液相色谱法； 检测时长：5-10分钟/测试；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2、携带污染：≤0.1%，转移性能：转移回收率≥95%;转移精密度≤5%；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3、仪器具备运行后无人值守功能，可实现自动进样、测定、运行、待机、停机、过压保护、漏液保护等功能；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4、仪器具备多检测项目联检功能，一次进样可实现1-5个项目检测出结果；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5、采血管直接上样，可全自动前处理与进样，具备自动采样、加液、吹打混匀、正压打气、固相萃取等功能，完成全自动分析检测；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6、液体输送系统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（1）流量:设定值误差±1%,流量稳定性≤1.0%；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（2）泵数量：3个，最高耐受压力：40MPa。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7、进样系统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（1）采血管直接上样，可全自动前处理与进样，具备自动采样、加液、吹打混匀、正压打气、固相萃取等功能，完成全自动分析检测；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（2）进样体积：0-1000ul；交叉污染：≤0.005% （指定条件下）；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（3）进样量准确度：±1%以内；进样量精密度RSD：≤0.2% (50uL)。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8、色谱柱萃取系统  阀最高耐受压力：35MPa。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9、检测系统  波长范围:190~400nm；波长示值误差：≤±2nm；波长重复性：±1nm；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二、商务要求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三、纸质资料要求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160" w:firstLineChars="130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2023年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1A8DF"/>
    <w:multiLevelType w:val="singleLevel"/>
    <w:tmpl w:val="63B1A8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170630E3"/>
    <w:rsid w:val="18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5">
    <w:name w:val="font1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71"/>
    <w:basedOn w:val="4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8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2023-12-21T02:26:21Z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