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auto"/>
        </w:rPr>
      </w:pPr>
      <w:r>
        <w:rPr>
          <w:rFonts w:hint="eastAsia" w:ascii="宋体" w:hAnsi="宋体"/>
          <w:color w:val="auto"/>
        </w:rPr>
        <w:t xml:space="preserve"> </w:t>
      </w:r>
    </w:p>
    <w:p>
      <w:pPr>
        <w:jc w:val="center"/>
        <w:rPr>
          <w:rFonts w:ascii="宋体" w:hAnsi="宋体"/>
          <w:color w:val="auto"/>
        </w:rPr>
      </w:pPr>
    </w:p>
    <w:p>
      <w:pPr>
        <w:jc w:val="center"/>
        <w:rPr>
          <w:rFonts w:ascii="宋体" w:hAnsi="宋体"/>
          <w:color w:val="auto"/>
        </w:rPr>
      </w:pPr>
    </w:p>
    <w:p>
      <w:pPr>
        <w:jc w:val="center"/>
        <w:outlineLvl w:val="0"/>
        <w:rPr>
          <w:rFonts w:hint="eastAsia" w:ascii="方正黑体_GBK" w:hAnsi="宋体" w:eastAsia="方正黑体_GBK"/>
          <w:color w:val="auto"/>
          <w:spacing w:val="80"/>
          <w:sz w:val="84"/>
          <w:szCs w:val="84"/>
        </w:rPr>
      </w:pPr>
    </w:p>
    <w:p>
      <w:pPr>
        <w:jc w:val="center"/>
        <w:outlineLvl w:val="0"/>
        <w:rPr>
          <w:rFonts w:ascii="方正黑体_GBK" w:hAnsi="宋体" w:eastAsia="方正黑体_GBK"/>
          <w:color w:val="auto"/>
          <w:spacing w:val="80"/>
          <w:sz w:val="112"/>
          <w:szCs w:val="112"/>
        </w:rPr>
      </w:pPr>
      <w:r>
        <w:rPr>
          <w:rFonts w:hint="eastAsia" w:ascii="方正黑体_GBK" w:hAnsi="宋体" w:eastAsia="方正黑体_GBK"/>
          <w:color w:val="auto"/>
          <w:spacing w:val="80"/>
          <w:sz w:val="84"/>
          <w:szCs w:val="84"/>
        </w:rPr>
        <w:t>竞争性磋商文件</w:t>
      </w:r>
    </w:p>
    <w:p>
      <w:pPr>
        <w:tabs>
          <w:tab w:val="left" w:pos="7912"/>
        </w:tabs>
        <w:spacing w:line="700" w:lineRule="exact"/>
        <w:ind w:firstLine="2560" w:firstLineChars="800"/>
        <w:rPr>
          <w:rFonts w:hint="eastAsia" w:ascii="黑体" w:eastAsia="黑体" w:cs="黑体"/>
          <w:color w:val="auto"/>
          <w:sz w:val="32"/>
          <w:szCs w:val="32"/>
        </w:rPr>
      </w:pPr>
      <w:r>
        <w:rPr>
          <w:rFonts w:hint="eastAsia" w:ascii="黑体" w:eastAsia="黑体" w:cs="黑体"/>
          <w:color w:val="auto"/>
          <w:sz w:val="32"/>
          <w:szCs w:val="32"/>
        </w:rPr>
        <w:t>（项目编号：</w:t>
      </w:r>
      <w:r>
        <w:rPr>
          <w:rFonts w:hint="eastAsia" w:ascii="黑体" w:eastAsia="黑体" w:cs="黑体"/>
          <w:color w:val="auto"/>
          <w:sz w:val="32"/>
          <w:szCs w:val="32"/>
          <w:highlight w:val="none"/>
          <w:lang w:eastAsia="zh-CN"/>
        </w:rPr>
        <w:t>CQ7YC20240</w:t>
      </w:r>
      <w:r>
        <w:rPr>
          <w:rFonts w:hint="eastAsia" w:ascii="黑体" w:eastAsia="黑体" w:cs="黑体"/>
          <w:color w:val="auto"/>
          <w:sz w:val="32"/>
          <w:szCs w:val="32"/>
          <w:highlight w:val="none"/>
          <w:lang w:val="en-US" w:eastAsia="zh-CN"/>
        </w:rPr>
        <w:t>26</w:t>
      </w:r>
      <w:r>
        <w:rPr>
          <w:rFonts w:hint="eastAsia" w:ascii="黑体" w:eastAsia="黑体" w:cs="黑体"/>
          <w:color w:val="auto"/>
          <w:sz w:val="32"/>
          <w:szCs w:val="32"/>
          <w:highlight w:val="none"/>
        </w:rPr>
        <w:t>）</w:t>
      </w:r>
      <w:r>
        <w:rPr>
          <w:rFonts w:hint="eastAsia" w:ascii="黑体" w:eastAsia="黑体" w:cs="黑体"/>
          <w:color w:val="auto"/>
          <w:sz w:val="32"/>
          <w:szCs w:val="32"/>
        </w:rPr>
        <w:tab/>
      </w:r>
    </w:p>
    <w:p>
      <w:pPr>
        <w:spacing w:line="700" w:lineRule="exact"/>
        <w:ind w:firstLine="2560" w:firstLineChars="800"/>
        <w:rPr>
          <w:rFonts w:hint="eastAsia" w:ascii="黑体" w:eastAsia="黑体" w:cs="黑体"/>
          <w:color w:val="auto"/>
          <w:sz w:val="32"/>
          <w:szCs w:val="32"/>
        </w:rPr>
      </w:pPr>
    </w:p>
    <w:p>
      <w:pPr>
        <w:spacing w:line="700" w:lineRule="exact"/>
        <w:jc w:val="center"/>
        <w:rPr>
          <w:rFonts w:hint="eastAsia" w:ascii="黑体" w:eastAsia="黑体"/>
          <w:color w:val="auto"/>
          <w:sz w:val="32"/>
        </w:rPr>
      </w:pPr>
    </w:p>
    <w:p>
      <w:pPr>
        <w:spacing w:line="700" w:lineRule="exact"/>
        <w:jc w:val="center"/>
        <w:rPr>
          <w:rFonts w:ascii="黑体" w:eastAsia="黑体"/>
          <w:color w:val="auto"/>
          <w:sz w:val="32"/>
        </w:rPr>
      </w:pPr>
    </w:p>
    <w:p>
      <w:pPr>
        <w:spacing w:line="700" w:lineRule="exact"/>
        <w:jc w:val="center"/>
        <w:rPr>
          <w:rFonts w:ascii="黑体" w:eastAsia="黑体"/>
          <w:color w:val="auto"/>
          <w:sz w:val="32"/>
        </w:rPr>
      </w:pPr>
    </w:p>
    <w:p>
      <w:pPr>
        <w:spacing w:line="700" w:lineRule="exact"/>
        <w:jc w:val="center"/>
        <w:rPr>
          <w:rFonts w:ascii="黑体" w:eastAsia="黑体"/>
          <w:color w:val="auto"/>
          <w:sz w:val="32"/>
        </w:rPr>
      </w:pPr>
    </w:p>
    <w:p>
      <w:pPr>
        <w:spacing w:line="700" w:lineRule="exact"/>
        <w:ind w:firstLine="2160" w:firstLineChars="600"/>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rPr>
        <w:t>项目</w:t>
      </w:r>
      <w:r>
        <w:rPr>
          <w:rFonts w:hint="eastAsia" w:ascii="方正小标宋_GBK" w:hAnsi="宋体" w:eastAsia="方正小标宋_GBK"/>
          <w:color w:val="auto"/>
          <w:sz w:val="36"/>
          <w:szCs w:val="30"/>
          <w:highlight w:val="none"/>
        </w:rPr>
        <w:t>名称：</w:t>
      </w:r>
      <w:r>
        <w:rPr>
          <w:rFonts w:hint="eastAsia" w:ascii="方正小标宋_GBK" w:hAnsi="宋体" w:eastAsia="方正小标宋_GBK"/>
          <w:color w:val="auto"/>
          <w:sz w:val="36"/>
          <w:szCs w:val="30"/>
          <w:highlight w:val="none"/>
          <w:lang w:eastAsia="zh-CN"/>
        </w:rPr>
        <w:t>满意度调查服务</w:t>
      </w:r>
    </w:p>
    <w:p>
      <w:pPr>
        <w:spacing w:line="700" w:lineRule="exact"/>
        <w:jc w:val="center"/>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采购单位：重庆市第七人民医院</w:t>
      </w:r>
    </w:p>
    <w:p>
      <w:pPr>
        <w:spacing w:line="700" w:lineRule="exact"/>
        <w:ind w:firstLine="1749" w:firstLineChars="486"/>
        <w:rPr>
          <w:rFonts w:ascii="方正小标宋_GBK" w:hAnsi="宋体" w:eastAsia="方正小标宋_GBK"/>
          <w:color w:val="auto"/>
          <w:sz w:val="36"/>
          <w:szCs w:val="30"/>
          <w:highlight w:val="none"/>
        </w:rPr>
      </w:pPr>
    </w:p>
    <w:p>
      <w:pPr>
        <w:spacing w:line="700" w:lineRule="exact"/>
        <w:jc w:val="center"/>
        <w:rPr>
          <w:rFonts w:hint="eastAsia" w:ascii="宋体" w:hAnsi="宋体"/>
          <w:b/>
          <w:color w:val="auto"/>
          <w:sz w:val="30"/>
          <w:szCs w:val="30"/>
          <w:highlight w:val="none"/>
        </w:rPr>
      </w:pPr>
    </w:p>
    <w:p>
      <w:pPr>
        <w:spacing w:line="700" w:lineRule="exact"/>
        <w:jc w:val="center"/>
        <w:rPr>
          <w:rFonts w:hint="eastAsia" w:ascii="宋体" w:hAnsi="宋体"/>
          <w:b/>
          <w:color w:val="auto"/>
          <w:sz w:val="30"/>
          <w:szCs w:val="30"/>
          <w:highlight w:val="none"/>
        </w:rPr>
      </w:pPr>
    </w:p>
    <w:p>
      <w:pPr>
        <w:spacing w:line="700" w:lineRule="exact"/>
        <w:jc w:val="center"/>
        <w:rPr>
          <w:rFonts w:ascii="宋体" w:hAnsi="宋体"/>
          <w:b/>
          <w:color w:val="auto"/>
          <w:sz w:val="30"/>
          <w:szCs w:val="30"/>
          <w:highlight w:val="none"/>
        </w:rPr>
      </w:pPr>
    </w:p>
    <w:p>
      <w:pPr>
        <w:spacing w:line="700" w:lineRule="exact"/>
        <w:ind w:firstLine="1749" w:firstLineChars="486"/>
        <w:rPr>
          <w:rFonts w:ascii="方正小标宋_GBK" w:hAnsi="宋体" w:eastAsia="方正小标宋_GBK"/>
          <w:color w:val="auto"/>
          <w:sz w:val="36"/>
          <w:szCs w:val="30"/>
          <w:highlight w:val="none"/>
        </w:rPr>
      </w:pPr>
    </w:p>
    <w:p>
      <w:pPr>
        <w:spacing w:line="720" w:lineRule="exact"/>
        <w:jc w:val="center"/>
        <w:outlineLvl w:val="0"/>
        <w:rPr>
          <w:rFonts w:ascii="方正黑体_GBK" w:hAnsi="宋体" w:eastAsia="方正黑体_GBK"/>
          <w:color w:val="auto"/>
          <w:sz w:val="48"/>
          <w:szCs w:val="32"/>
          <w:highlight w:val="none"/>
        </w:rPr>
      </w:pPr>
      <w:r>
        <w:rPr>
          <w:rFonts w:hint="eastAsia" w:ascii="方正小标宋_GBK" w:hAnsi="宋体" w:eastAsia="方正小标宋_GBK"/>
          <w:color w:val="auto"/>
          <w:sz w:val="36"/>
          <w:szCs w:val="30"/>
          <w:highlight w:val="none"/>
        </w:rPr>
        <w:t xml:space="preserve">  二〇二</w:t>
      </w:r>
      <w:r>
        <w:rPr>
          <w:rFonts w:hint="eastAsia" w:ascii="方正小标宋_GBK" w:hAnsi="宋体" w:eastAsia="方正小标宋_GBK"/>
          <w:color w:val="auto"/>
          <w:sz w:val="36"/>
          <w:szCs w:val="30"/>
          <w:highlight w:val="none"/>
          <w:lang w:val="en-US" w:eastAsia="zh-CN"/>
        </w:rPr>
        <w:t>四</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十二</w:t>
      </w:r>
      <w:r>
        <w:rPr>
          <w:rFonts w:hint="eastAsia" w:ascii="方正小标宋_GBK" w:hAnsi="宋体" w:eastAsia="方正小标宋_GBK"/>
          <w:color w:val="auto"/>
          <w:sz w:val="36"/>
          <w:szCs w:val="30"/>
          <w:highlight w:val="none"/>
        </w:rPr>
        <w:t>月</w:t>
      </w:r>
    </w:p>
    <w:p>
      <w:pPr>
        <w:pStyle w:val="47"/>
        <w:tabs>
          <w:tab w:val="right" w:leader="dot" w:pos="9402"/>
        </w:tabs>
        <w:spacing w:line="480" w:lineRule="exact"/>
        <w:ind w:left="560"/>
        <w:jc w:val="center"/>
        <w:rPr>
          <w:rFonts w:ascii="方正仿宋_GBK" w:eastAsia="方正仿宋_GBK"/>
          <w:color w:val="auto"/>
          <w:sz w:val="18"/>
          <w:szCs w:val="22"/>
          <w:highlight w:val="yellow"/>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bookmarkStart w:id="0" w:name="_Toc12789052"/>
      <w:bookmarkStart w:id="1" w:name="_Toc11641050"/>
    </w:p>
    <w:p>
      <w:pPr>
        <w:pStyle w:val="3"/>
        <w:jc w:val="center"/>
        <w:rPr>
          <w:rFonts w:hint="eastAsia" w:ascii="方正小标宋_GBK" w:hAnsi="方正小标宋_GBK" w:eastAsia="方正小标宋_GBK" w:cs="方正小标宋_GBK"/>
          <w:b/>
          <w:bCs/>
          <w:color w:val="auto"/>
          <w:sz w:val="36"/>
          <w:szCs w:val="36"/>
        </w:rPr>
      </w:pPr>
      <w:bookmarkStart w:id="2" w:name="_Toc8657"/>
      <w:r>
        <w:rPr>
          <w:rFonts w:hint="eastAsia" w:ascii="方正小标宋_GBK" w:hAnsi="方正小标宋_GBK" w:eastAsia="方正小标宋_GBK" w:cs="方正小标宋_GBK"/>
          <w:b/>
          <w:bCs/>
          <w:color w:val="auto"/>
          <w:sz w:val="36"/>
          <w:szCs w:val="36"/>
        </w:rPr>
        <w:t>第一篇  采购邀请书</w:t>
      </w:r>
      <w:bookmarkEnd w:id="0"/>
      <w:bookmarkEnd w:id="1"/>
      <w:bookmarkEnd w:id="2"/>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rPr>
        <w:t>重庆市</w:t>
      </w:r>
      <w:r>
        <w:rPr>
          <w:rFonts w:hint="eastAsia" w:ascii="方正仿宋_GBK" w:hAnsi="宋体" w:eastAsia="方正仿宋_GBK"/>
          <w:color w:val="auto"/>
          <w:sz w:val="24"/>
          <w:szCs w:val="24"/>
          <w:highlight w:val="none"/>
        </w:rPr>
        <w:t>第七人民医院</w:t>
      </w:r>
      <w:r>
        <w:rPr>
          <w:rFonts w:hint="eastAsia" w:ascii="方正仿宋_GBK" w:hAnsi="宋体" w:eastAsia="方正仿宋_GBK"/>
          <w:color w:val="auto"/>
          <w:sz w:val="24"/>
          <w:szCs w:val="24"/>
          <w:highlight w:val="none"/>
          <w:lang w:eastAsia="zh-CN"/>
        </w:rPr>
        <w:t>满意度调查服务</w:t>
      </w:r>
      <w:r>
        <w:rPr>
          <w:rFonts w:hint="eastAsia" w:ascii="方正仿宋_GBK" w:hAnsi="宋体" w:eastAsia="方正仿宋_GBK"/>
          <w:color w:val="auto"/>
          <w:sz w:val="24"/>
          <w:szCs w:val="24"/>
          <w:highlight w:val="none"/>
        </w:rPr>
        <w:t>项目执行竞争性磋商采购，欢迎有资格的供应商前来参与磋商。</w:t>
      </w:r>
    </w:p>
    <w:p>
      <w:pPr>
        <w:pStyle w:val="4"/>
        <w:spacing w:before="0" w:after="0" w:line="400" w:lineRule="exact"/>
        <w:rPr>
          <w:rFonts w:ascii="方正仿宋_GBK" w:eastAsia="方正仿宋_GBK"/>
          <w:color w:val="auto"/>
          <w:sz w:val="24"/>
          <w:szCs w:val="24"/>
          <w:highlight w:val="none"/>
        </w:rPr>
      </w:pPr>
      <w:bookmarkStart w:id="3" w:name="_Toc313893526"/>
      <w:bookmarkStart w:id="4" w:name="_Toc317775175"/>
      <w:bookmarkStart w:id="5" w:name="_Toc1058"/>
      <w:r>
        <w:rPr>
          <w:rFonts w:hint="eastAsia" w:ascii="方正仿宋_GBK" w:eastAsia="方正仿宋_GBK"/>
          <w:color w:val="auto"/>
          <w:sz w:val="24"/>
          <w:szCs w:val="24"/>
          <w:highlight w:val="none"/>
        </w:rPr>
        <w:t>一、</w:t>
      </w:r>
      <w:r>
        <w:rPr>
          <w:rFonts w:hint="eastAsia" w:ascii="方正仿宋_GBK" w:hAnsi="宋体" w:eastAsia="方正仿宋_GBK"/>
          <w:color w:val="auto"/>
          <w:sz w:val="24"/>
          <w:szCs w:val="24"/>
          <w:highlight w:val="none"/>
        </w:rPr>
        <w:t>竞争性磋商</w:t>
      </w:r>
      <w:r>
        <w:rPr>
          <w:rFonts w:hint="eastAsia" w:ascii="方正仿宋_GBK" w:eastAsia="方正仿宋_GBK"/>
          <w:color w:val="auto"/>
          <w:sz w:val="24"/>
          <w:szCs w:val="24"/>
          <w:highlight w:val="none"/>
        </w:rPr>
        <w:t>内容</w:t>
      </w:r>
      <w:bookmarkEnd w:id="3"/>
      <w:bookmarkEnd w:id="4"/>
      <w:bookmarkEnd w:id="5"/>
    </w:p>
    <w:tbl>
      <w:tblPr>
        <w:tblStyle w:val="5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127"/>
        <w:gridCol w:w="278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30" w:type="dxa"/>
            <w:tcBorders>
              <w:top w:val="single" w:color="auto" w:sz="4" w:space="0"/>
              <w:left w:val="single" w:color="auto" w:sz="4" w:space="0"/>
              <w:right w:val="single" w:color="auto" w:sz="4" w:space="0"/>
            </w:tcBorders>
            <w:noWrap w:val="0"/>
            <w:vAlign w:val="center"/>
          </w:tcPr>
          <w:p>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项目名称</w:t>
            </w:r>
          </w:p>
        </w:tc>
        <w:tc>
          <w:tcPr>
            <w:tcW w:w="2127"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highlight w:val="none"/>
                <w:lang w:val="en-US" w:eastAsia="zh-CN"/>
              </w:rPr>
            </w:pPr>
            <w:r>
              <w:rPr>
                <w:rFonts w:hint="eastAsia" w:ascii="方正仿宋_GBK" w:hAnsi="宋体" w:eastAsia="方正仿宋_GBK" w:cs="宋体"/>
                <w:b/>
                <w:bCs/>
                <w:color w:val="auto"/>
                <w:kern w:val="0"/>
                <w:sz w:val="21"/>
                <w:szCs w:val="24"/>
                <w:highlight w:val="none"/>
                <w:lang w:val="en-US" w:eastAsia="zh-CN"/>
              </w:rPr>
              <w:t>服务期</w:t>
            </w:r>
          </w:p>
        </w:tc>
        <w:tc>
          <w:tcPr>
            <w:tcW w:w="2789" w:type="dxa"/>
            <w:tcBorders>
              <w:top w:val="single" w:color="auto" w:sz="4" w:space="0"/>
              <w:left w:val="single" w:color="auto" w:sz="4" w:space="0"/>
              <w:right w:val="single" w:color="auto" w:sz="4" w:space="0"/>
            </w:tcBorders>
            <w:noWrap w:val="0"/>
            <w:vAlign w:val="center"/>
          </w:tcPr>
          <w:p>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采购预算（万元）</w:t>
            </w:r>
          </w:p>
        </w:tc>
        <w:tc>
          <w:tcPr>
            <w:tcW w:w="1448" w:type="dxa"/>
            <w:tcBorders>
              <w:top w:val="single" w:color="auto" w:sz="4" w:space="0"/>
              <w:left w:val="single" w:color="auto" w:sz="4" w:space="0"/>
              <w:right w:val="single" w:color="auto" w:sz="4" w:space="0"/>
            </w:tcBorders>
            <w:noWrap w:val="0"/>
            <w:vAlign w:val="center"/>
          </w:tcPr>
          <w:p>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olor w:val="auto"/>
                <w:sz w:val="24"/>
                <w:szCs w:val="24"/>
                <w:highlight w:val="none"/>
                <w:lang w:eastAsia="zh-CN"/>
              </w:rPr>
            </w:pPr>
            <w:bookmarkStart w:id="6" w:name="_Hlk344477914"/>
            <w:r>
              <w:rPr>
                <w:rFonts w:hint="eastAsia" w:ascii="方正仿宋_GBK" w:hAnsi="宋体" w:eastAsia="方正仿宋_GBK" w:cs="Times New Roman"/>
                <w:color w:val="auto"/>
                <w:sz w:val="24"/>
                <w:szCs w:val="24"/>
                <w:highlight w:val="none"/>
                <w:lang w:eastAsia="zh-CN"/>
              </w:rPr>
              <w:t>满意度调查服务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24次</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lang w:val="en-US" w:eastAsia="zh-CN"/>
              </w:rPr>
              <w:t>46.5</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宋体" w:eastAsia="方正仿宋_GBK"/>
                <w:color w:val="auto"/>
                <w:sz w:val="21"/>
                <w:szCs w:val="21"/>
                <w:highlight w:val="none"/>
              </w:rPr>
            </w:pPr>
          </w:p>
        </w:tc>
      </w:tr>
      <w:bookmarkEnd w:id="6"/>
    </w:tbl>
    <w:p>
      <w:pPr>
        <w:pStyle w:val="4"/>
        <w:spacing w:before="0" w:after="0" w:line="400" w:lineRule="exact"/>
        <w:rPr>
          <w:rFonts w:ascii="方正仿宋_GBK" w:eastAsia="方正仿宋_GBK"/>
          <w:color w:val="auto"/>
          <w:sz w:val="24"/>
          <w:szCs w:val="24"/>
        </w:rPr>
      </w:pPr>
      <w:bookmarkStart w:id="7" w:name="_Toc3589"/>
      <w:bookmarkStart w:id="8" w:name="_Toc373860293"/>
      <w:bookmarkStart w:id="9" w:name="_Toc317775178"/>
      <w:r>
        <w:rPr>
          <w:rFonts w:hint="eastAsia" w:ascii="方正仿宋_GBK" w:eastAsia="方正仿宋_GBK"/>
          <w:color w:val="auto"/>
          <w:sz w:val="24"/>
          <w:szCs w:val="24"/>
        </w:rPr>
        <w:t>二、资金来源</w:t>
      </w:r>
      <w:bookmarkEnd w:id="7"/>
    </w:p>
    <w:p>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w:t>
      </w:r>
    </w:p>
    <w:p>
      <w:pPr>
        <w:pStyle w:val="4"/>
        <w:spacing w:before="0" w:after="0" w:line="400" w:lineRule="exact"/>
        <w:rPr>
          <w:rFonts w:ascii="方正仿宋_GBK" w:eastAsia="方正仿宋_GBK"/>
          <w:color w:val="auto"/>
          <w:sz w:val="24"/>
          <w:szCs w:val="24"/>
        </w:rPr>
      </w:pPr>
      <w:bookmarkStart w:id="10" w:name="_Toc26503"/>
      <w:r>
        <w:rPr>
          <w:rFonts w:hint="eastAsia" w:ascii="方正仿宋_GBK" w:eastAsia="方正仿宋_GBK"/>
          <w:color w:val="auto"/>
          <w:sz w:val="24"/>
          <w:szCs w:val="24"/>
        </w:rPr>
        <w:t>三、供应商资格条件</w:t>
      </w:r>
      <w:bookmarkEnd w:id="10"/>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磋商供应商是指向采购人提供服务或者货物的法人、其他组织或者自然人。以下简称供应商。合格的供应商应首先符合政府采购法第二十二条规定的基本资格条件，同时符合根据该项目特殊要求设置的特定资格条件。</w:t>
      </w:r>
    </w:p>
    <w:p>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（一）基本资格条件</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1.具有独立承担民事责任的能力；</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2.具有良好的商业信誉和健全的财务会计制度；</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3.具有履行合同所必需的设备和专业技术能力；</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4.有依法缴纳税收和社会保障资金的良好记录；</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5.参加政府采购活动前三年内，在经营活动中没有重大违法记录；</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6.法律、行政法规规定的其他条件。</w:t>
      </w:r>
    </w:p>
    <w:p>
      <w:pPr>
        <w:snapToGrid w:val="0"/>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上述2-5项检查内容：响应人提供诚信声明（格式附后）</w:t>
      </w:r>
    </w:p>
    <w:p>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（二）特定资格条件</w:t>
      </w:r>
    </w:p>
    <w:p>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无。</w:t>
      </w:r>
    </w:p>
    <w:p>
      <w:pPr>
        <w:snapToGrid w:val="0"/>
        <w:spacing w:line="400" w:lineRule="exact"/>
        <w:ind w:firstLine="480" w:firstLineChars="200"/>
        <w:rPr>
          <w:rFonts w:hint="default" w:ascii="方正楷体_GBK" w:hAnsi="方正楷体_GBK" w:eastAsia="方正楷体_GBK" w:cs="方正楷体_GBK"/>
          <w:color w:val="auto"/>
          <w:sz w:val="24"/>
          <w:szCs w:val="24"/>
          <w:lang w:val="en-US" w:eastAsia="zh-CN"/>
        </w:rPr>
      </w:pPr>
      <w:r>
        <w:rPr>
          <w:rFonts w:hint="eastAsia" w:ascii="方正楷体_GBK" w:hAnsi="方正楷体_GBK" w:eastAsia="方正楷体_GBK" w:cs="方正楷体_GBK"/>
          <w:color w:val="auto"/>
          <w:sz w:val="24"/>
          <w:szCs w:val="24"/>
          <w:lang w:val="en-US" w:eastAsia="zh-CN"/>
        </w:rPr>
        <w:t>（三）</w:t>
      </w:r>
      <w:r>
        <w:rPr>
          <w:rFonts w:hint="default" w:ascii="方正楷体_GBK" w:hAnsi="方正楷体_GBK" w:eastAsia="方正楷体_GBK" w:cs="方正楷体_GBK"/>
          <w:color w:val="auto"/>
          <w:sz w:val="24"/>
          <w:szCs w:val="24"/>
          <w:lang w:val="en-US" w:eastAsia="zh-CN"/>
        </w:rPr>
        <w:t>其他</w:t>
      </w:r>
    </w:p>
    <w:p>
      <w:pPr>
        <w:pStyle w:val="57"/>
        <w:rPr>
          <w:rFonts w:hint="eastAsia" w:ascii="方正仿宋_GBK" w:hAnsi="宋体" w:eastAsia="方正仿宋_GBK" w:cs="Times New Roman"/>
          <w:color w:val="auto"/>
          <w:kern w:val="2"/>
          <w:sz w:val="24"/>
          <w:szCs w:val="24"/>
          <w:lang w:val="en-US" w:eastAsia="zh-CN" w:bidi="ar-SA"/>
        </w:rPr>
      </w:pPr>
      <w:r>
        <w:rPr>
          <w:rFonts w:hint="default" w:ascii="方正仿宋_GBK" w:hAnsi="宋体" w:eastAsia="方正仿宋_GBK" w:cs="Times New Roman"/>
          <w:color w:val="auto"/>
          <w:kern w:val="2"/>
          <w:sz w:val="24"/>
          <w:szCs w:val="24"/>
          <w:lang w:val="en-US" w:eastAsia="zh-CN" w:bidi="ar-SA"/>
        </w:rPr>
        <w:t>本项目不接受联合体招标。</w:t>
      </w:r>
    </w:p>
    <w:p>
      <w:pPr>
        <w:snapToGrid w:val="0"/>
        <w:spacing w:line="400" w:lineRule="exact"/>
        <w:ind w:firstLine="482" w:firstLineChars="200"/>
        <w:rPr>
          <w:rFonts w:hint="eastAsia" w:ascii="方正仿宋_GBK" w:hAnsi="宋体" w:eastAsia="方正仿宋_GBK"/>
          <w:color w:val="auto"/>
          <w:sz w:val="24"/>
          <w:szCs w:val="24"/>
        </w:rPr>
      </w:pPr>
      <w:r>
        <w:rPr>
          <w:rFonts w:hint="eastAsia" w:ascii="方正仿宋_GBK" w:hAnsi="宋体" w:eastAsia="方正仿宋_GBK"/>
          <w:b/>
          <w:bCs/>
          <w:color w:val="auto"/>
          <w:sz w:val="24"/>
          <w:szCs w:val="24"/>
        </w:rPr>
        <w:t>以上所有证照必须年审合格，且在有效期内；诚信声明必须为加盖鲜章的原件；复印件必须清晰可见，且加盖供应商单位鲜章（原件备查）</w:t>
      </w:r>
      <w:r>
        <w:rPr>
          <w:rFonts w:hint="eastAsia" w:ascii="方正仿宋_GBK" w:hAnsi="宋体" w:eastAsia="方正仿宋_GBK"/>
          <w:color w:val="auto"/>
          <w:sz w:val="24"/>
          <w:szCs w:val="24"/>
        </w:rPr>
        <w:t>。</w:t>
      </w:r>
    </w:p>
    <w:p>
      <w:pPr>
        <w:pStyle w:val="4"/>
        <w:spacing w:before="0" w:after="0" w:line="480" w:lineRule="exact"/>
        <w:rPr>
          <w:rFonts w:ascii="方正仿宋_GBK" w:eastAsia="方正仿宋_GBK"/>
          <w:color w:val="auto"/>
          <w:sz w:val="24"/>
          <w:szCs w:val="24"/>
        </w:rPr>
      </w:pPr>
      <w:bookmarkStart w:id="11" w:name="_Toc6254"/>
      <w:r>
        <w:rPr>
          <w:rFonts w:hint="eastAsia" w:ascii="方正仿宋_GBK" w:eastAsia="方正仿宋_GBK"/>
          <w:color w:val="auto"/>
          <w:sz w:val="24"/>
          <w:szCs w:val="24"/>
        </w:rPr>
        <w:t>四、磋商有关说明</w:t>
      </w:r>
      <w:bookmarkEnd w:id="8"/>
      <w:bookmarkEnd w:id="11"/>
    </w:p>
    <w:p>
      <w:pPr>
        <w:snapToGrid w:val="0"/>
        <w:spacing w:line="400" w:lineRule="exact"/>
        <w:ind w:firstLine="480" w:firstLineChars="200"/>
        <w:rPr>
          <w:rFonts w:hint="eastAsia" w:ascii="方正楷体_GBK" w:hAnsi="方正楷体_GBK" w:eastAsia="方正楷体_GBK" w:cs="方正楷体_GBK"/>
          <w:color w:val="auto"/>
          <w:sz w:val="24"/>
          <w:szCs w:val="24"/>
        </w:rPr>
      </w:pPr>
      <w:bookmarkStart w:id="12" w:name="_Toc373860294"/>
      <w:r>
        <w:rPr>
          <w:rFonts w:hint="eastAsia" w:ascii="方正楷体_GBK" w:hAnsi="方正楷体_GBK" w:eastAsia="方正楷体_GBK" w:cs="方正楷体_GBK"/>
          <w:color w:val="auto"/>
          <w:sz w:val="24"/>
          <w:szCs w:val="24"/>
        </w:rPr>
        <w:t>（一）磋商文件获取方式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凡有意参加磋商的供应商，请于公告发布之日起至提交首次响应文件截止时间之前，通过重庆市第七人民医院官网（www.cq7y.com）下载本项目竞争性磋商文件、补遗等磋商前公布的所有项目资料，无论供应商下载与否，均视为已知晓所有磋商实质性要求内容（不提供现场发售）。</w:t>
      </w:r>
    </w:p>
    <w:p>
      <w:pPr>
        <w:snapToGrid w:val="0"/>
        <w:spacing w:line="400" w:lineRule="exact"/>
        <w:ind w:firstLine="480" w:firstLineChars="200"/>
        <w:rPr>
          <w:rFonts w:hint="eastAsia" w:ascii="方正楷体_GBK" w:hAnsi="方正楷体_GBK" w:eastAsia="方正楷体_GBK" w:cs="方正楷体_GBK"/>
          <w:color w:val="auto"/>
          <w:sz w:val="24"/>
          <w:szCs w:val="24"/>
        </w:rPr>
      </w:pPr>
      <w:bookmarkStart w:id="13" w:name="_Toc54095814"/>
      <w:bookmarkStart w:id="14" w:name="_Toc10761"/>
      <w:r>
        <w:rPr>
          <w:rFonts w:hint="eastAsia" w:ascii="方正楷体_GBK" w:hAnsi="方正楷体_GBK" w:eastAsia="方正楷体_GBK" w:cs="方正楷体_GBK"/>
          <w:color w:val="auto"/>
          <w:sz w:val="24"/>
          <w:szCs w:val="24"/>
        </w:rPr>
        <w:t>（二）响应文件递交时间</w:t>
      </w:r>
    </w:p>
    <w:p>
      <w:pPr>
        <w:snapToGrid w:val="0"/>
        <w:spacing w:line="400" w:lineRule="exact"/>
        <w:ind w:firstLine="480" w:firstLineChars="200"/>
        <w:rPr>
          <w:rFonts w:hint="eastAsia" w:ascii="方正仿宋_GBK" w:hAnsi="宋体" w:eastAsia="方正仿宋_GBK"/>
          <w:b/>
          <w:bCs/>
          <w:color w:val="auto"/>
          <w:sz w:val="24"/>
          <w:szCs w:val="24"/>
        </w:rPr>
      </w:pPr>
      <w:r>
        <w:rPr>
          <w:rFonts w:hint="eastAsia" w:ascii="方正仿宋_GBK" w:hAnsi="方正仿宋_GBK" w:eastAsia="方正仿宋_GBK" w:cs="方正仿宋_GBK"/>
          <w:color w:val="auto"/>
          <w:kern w:val="0"/>
          <w:sz w:val="24"/>
          <w:szCs w:val="24"/>
          <w:highlight w:val="none"/>
          <w:lang w:val="en-US" w:eastAsia="zh-CN" w:bidi="ar"/>
        </w:rPr>
        <w:t>2024年12月12日</w:t>
      </w:r>
      <w:r>
        <w:rPr>
          <w:rFonts w:ascii="方正仿宋_GBK" w:hAnsi="宋体" w:eastAsia="方正仿宋_GBK"/>
          <w:color w:val="auto"/>
          <w:sz w:val="24"/>
          <w:szCs w:val="24"/>
          <w:highlight w:val="none"/>
        </w:rPr>
        <w:t>北京时间</w:t>
      </w:r>
      <w:r>
        <w:rPr>
          <w:rFonts w:hint="eastAsia" w:ascii="方正仿宋_GBK" w:hAnsi="宋体" w:eastAsia="方正仿宋_GBK"/>
          <w:color w:val="auto"/>
          <w:sz w:val="24"/>
          <w:szCs w:val="24"/>
          <w:highlight w:val="none"/>
          <w:lang w:val="en-US" w:eastAsia="zh-CN"/>
        </w:rPr>
        <w:t>下午</w:t>
      </w:r>
      <w:r>
        <w:rPr>
          <w:rFonts w:hint="eastAsia" w:ascii="方正仿宋_GBK" w:hAnsi="方正仿宋_GBK" w:eastAsia="方正仿宋_GBK" w:cs="方正仿宋_GBK"/>
          <w:color w:val="auto"/>
          <w:kern w:val="0"/>
          <w:sz w:val="24"/>
          <w:szCs w:val="24"/>
          <w:highlight w:val="none"/>
          <w:lang w:val="en-US" w:eastAsia="zh-CN" w:bidi="ar"/>
        </w:rPr>
        <w:t>14:00-14:30</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rPr>
        <w:t>响应文件递交到重庆市第七人民医院住院部采购会议室（职工食堂二楼） 。</w:t>
      </w:r>
      <w:r>
        <w:rPr>
          <w:rFonts w:hint="eastAsia" w:ascii="方正仿宋_GBK" w:hAnsi="宋体" w:eastAsia="方正仿宋_GBK"/>
          <w:b/>
          <w:bCs/>
          <w:color w:val="auto"/>
          <w:sz w:val="24"/>
          <w:szCs w:val="24"/>
        </w:rPr>
        <w:t>报名资料</w:t>
      </w:r>
      <w:r>
        <w:rPr>
          <w:rFonts w:hint="eastAsia" w:ascii="方正仿宋_GBK" w:hAnsi="宋体" w:eastAsia="方正仿宋_GBK"/>
          <w:b/>
          <w:bCs/>
          <w:color w:val="auto"/>
          <w:sz w:val="24"/>
          <w:szCs w:val="24"/>
          <w:highlight w:val="none"/>
        </w:rPr>
        <w:t>《重庆市第七人民医院报名表》</w:t>
      </w:r>
      <w:r>
        <w:rPr>
          <w:rFonts w:hint="eastAsia" w:ascii="方正仿宋_GBK" w:hAnsi="宋体" w:eastAsia="方正仿宋_GBK"/>
          <w:b/>
          <w:bCs/>
          <w:color w:val="auto"/>
          <w:sz w:val="24"/>
          <w:szCs w:val="24"/>
          <w:highlight w:val="none"/>
          <w:lang w:val="en-US" w:eastAsia="zh-CN"/>
        </w:rPr>
        <w:t>开</w:t>
      </w:r>
      <w:r>
        <w:rPr>
          <w:rFonts w:hint="eastAsia" w:ascii="方正仿宋_GBK" w:hAnsi="宋体" w:eastAsia="方正仿宋_GBK"/>
          <w:b/>
          <w:bCs/>
          <w:color w:val="auto"/>
          <w:sz w:val="24"/>
          <w:szCs w:val="24"/>
          <w:lang w:val="en-US" w:eastAsia="zh-CN"/>
        </w:rPr>
        <w:t>标前收取，</w:t>
      </w:r>
      <w:r>
        <w:rPr>
          <w:rFonts w:hint="eastAsia" w:ascii="方正仿宋_GBK" w:hAnsi="宋体" w:eastAsia="方正仿宋_GBK"/>
          <w:b/>
          <w:bCs/>
          <w:color w:val="auto"/>
          <w:sz w:val="24"/>
          <w:szCs w:val="24"/>
        </w:rPr>
        <w:t>请勿装入响应文件密封！</w:t>
      </w:r>
    </w:p>
    <w:p>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（三）磋商地点</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重庆市第七人民医院住院部采购会议室（职工食堂二楼）</w:t>
      </w:r>
    </w:p>
    <w:p>
      <w:pPr>
        <w:snapToGrid w:val="0"/>
        <w:spacing w:line="400" w:lineRule="exact"/>
        <w:ind w:firstLine="480" w:firstLineChars="200"/>
        <w:rPr>
          <w:rFonts w:hint="eastAsia" w:ascii="方正楷体_GBK" w:hAnsi="方正楷体_GBK" w:eastAsia="方正楷体_GBK" w:cs="方正楷体_GBK"/>
          <w:color w:val="auto"/>
          <w:sz w:val="24"/>
          <w:szCs w:val="24"/>
        </w:rPr>
      </w:pPr>
      <w:r>
        <w:rPr>
          <w:rFonts w:hint="eastAsia" w:ascii="方正楷体_GBK" w:hAnsi="方正楷体_GBK" w:eastAsia="方正楷体_GBK" w:cs="方正楷体_GBK"/>
          <w:color w:val="auto"/>
          <w:sz w:val="24"/>
          <w:szCs w:val="24"/>
        </w:rPr>
        <w:t>（四）磋商时间</w:t>
      </w:r>
      <w:bookmarkStart w:id="123" w:name="_GoBack"/>
      <w:bookmarkEnd w:id="123"/>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2024年12月12日</w:t>
      </w:r>
      <w:r>
        <w:rPr>
          <w:rFonts w:ascii="方正仿宋_GBK" w:hAnsi="宋体" w:eastAsia="方正仿宋_GBK"/>
          <w:color w:val="auto"/>
          <w:sz w:val="24"/>
          <w:szCs w:val="24"/>
          <w:highlight w:val="none"/>
        </w:rPr>
        <w:t>北京时间</w:t>
      </w:r>
      <w:r>
        <w:rPr>
          <w:rFonts w:hint="eastAsia" w:ascii="方正仿宋_GBK" w:hAnsi="宋体" w:eastAsia="方正仿宋_GBK"/>
          <w:color w:val="auto"/>
          <w:sz w:val="24"/>
          <w:szCs w:val="24"/>
          <w:highlight w:val="none"/>
          <w:lang w:val="en-US" w:eastAsia="zh-CN"/>
        </w:rPr>
        <w:t>下午</w:t>
      </w:r>
      <w:r>
        <w:rPr>
          <w:rFonts w:hint="eastAsia" w:ascii="方正仿宋_GBK" w:hAnsi="方正仿宋_GBK" w:eastAsia="方正仿宋_GBK" w:cs="方正仿宋_GBK"/>
          <w:color w:val="auto"/>
          <w:kern w:val="0"/>
          <w:sz w:val="24"/>
          <w:szCs w:val="24"/>
          <w:highlight w:val="none"/>
          <w:lang w:val="en-US" w:eastAsia="zh-CN" w:bidi="ar"/>
        </w:rPr>
        <w:t>14:30</w:t>
      </w:r>
      <w:r>
        <w:rPr>
          <w:rFonts w:ascii="方正仿宋_GBK" w:hAnsi="宋体" w:eastAsia="方正仿宋_GBK"/>
          <w:color w:val="auto"/>
          <w:sz w:val="24"/>
          <w:szCs w:val="24"/>
          <w:highlight w:val="none"/>
        </w:rPr>
        <w:t>。</w:t>
      </w:r>
    </w:p>
    <w:p>
      <w:pPr>
        <w:pStyle w:val="4"/>
        <w:spacing w:before="0" w:after="0" w:line="400" w:lineRule="exact"/>
        <w:rPr>
          <w:rFonts w:ascii="方正仿宋_GBK" w:eastAsia="方正仿宋_GBK"/>
          <w:color w:val="auto"/>
          <w:sz w:val="24"/>
          <w:szCs w:val="24"/>
        </w:rPr>
      </w:pPr>
      <w:bookmarkStart w:id="15" w:name="_Toc9379"/>
      <w:r>
        <w:rPr>
          <w:rFonts w:hint="eastAsia" w:ascii="方正仿宋_GBK" w:eastAsia="方正仿宋_GBK"/>
          <w:color w:val="auto"/>
          <w:sz w:val="24"/>
          <w:szCs w:val="24"/>
        </w:rPr>
        <w:t>五、</w:t>
      </w:r>
      <w:bookmarkEnd w:id="9"/>
      <w:bookmarkEnd w:id="12"/>
      <w:bookmarkEnd w:id="13"/>
      <w:bookmarkEnd w:id="14"/>
      <w:bookmarkStart w:id="16" w:name="_Toc480466699"/>
      <w:r>
        <w:rPr>
          <w:rFonts w:hint="eastAsia" w:ascii="方正仿宋_GBK" w:eastAsia="方正仿宋_GBK"/>
          <w:color w:val="auto"/>
          <w:sz w:val="24"/>
          <w:szCs w:val="24"/>
        </w:rPr>
        <w:t>其它有关规定</w:t>
      </w:r>
      <w:bookmarkEnd w:id="15"/>
      <w:bookmarkEnd w:id="16"/>
    </w:p>
    <w:p>
      <w:pPr>
        <w:snapToGrid w:val="0"/>
        <w:spacing w:line="380" w:lineRule="exact"/>
        <w:ind w:firstLine="360" w:firstLineChars="150"/>
        <w:rPr>
          <w:rFonts w:ascii="方正仿宋_GBK" w:hAnsi="宋体" w:eastAsia="方正仿宋_GBK"/>
          <w:color w:val="auto"/>
          <w:sz w:val="24"/>
          <w:szCs w:val="24"/>
        </w:rPr>
      </w:pPr>
      <w:bookmarkStart w:id="17" w:name="_Toc480466700"/>
      <w:r>
        <w:rPr>
          <w:rFonts w:hint="eastAsia" w:ascii="方正仿宋_GBK" w:hAnsi="宋体" w:eastAsia="方正仿宋_GBK"/>
          <w:color w:val="auto"/>
          <w:sz w:val="24"/>
          <w:szCs w:val="24"/>
        </w:rPr>
        <w:t>（一）单位负责人为同一人或者存在直接控股、管理关系的不同供应商，不得参加同一合同项（分包）下的采购活动，否则均为无效磋商。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在响应文件提交截止时间前发布的竞争性磋商文件及补遗文件（如果有）一律在重庆市第七人民医院官网（www.cq7y.com）上发布，请各供应商注意下载；无论供应商下载与否，均视同供应商已知晓本项目竞争性磋商文件、补遗文件（如果有）的内容。</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（三）超过磋商文件截止时间递交响应文件，恕不接收响应文件。</w:t>
      </w:r>
    </w:p>
    <w:p>
      <w:pPr>
        <w:snapToGrid w:val="0"/>
        <w:spacing w:line="38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（四）磋商费用：无论磋商结果如何，供应商参与本项目磋商的所有费用均应由供应商自行承担。</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（五）本项目不接受联合体参与磋商，严禁围标串标，挂靠和违法分包。</w:t>
      </w:r>
    </w:p>
    <w:p>
      <w:pPr>
        <w:pStyle w:val="4"/>
        <w:spacing w:before="0" w:after="0" w:line="380" w:lineRule="exact"/>
        <w:rPr>
          <w:rFonts w:ascii="方正仿宋_GBK" w:eastAsia="方正仿宋_GBK"/>
          <w:color w:val="auto"/>
          <w:sz w:val="24"/>
          <w:szCs w:val="24"/>
        </w:rPr>
      </w:pPr>
      <w:bookmarkStart w:id="18" w:name="_Toc23985"/>
      <w:r>
        <w:rPr>
          <w:rFonts w:hint="eastAsia" w:ascii="方正仿宋_GBK" w:eastAsia="方正仿宋_GBK"/>
          <w:color w:val="auto"/>
          <w:sz w:val="24"/>
          <w:szCs w:val="24"/>
        </w:rPr>
        <w:t>六、联系</w:t>
      </w:r>
      <w:bookmarkEnd w:id="17"/>
      <w:r>
        <w:rPr>
          <w:rFonts w:hint="eastAsia" w:ascii="方正仿宋_GBK" w:eastAsia="方正仿宋_GBK"/>
          <w:color w:val="auto"/>
          <w:sz w:val="24"/>
          <w:szCs w:val="24"/>
        </w:rPr>
        <w:t>方式</w:t>
      </w:r>
      <w:bookmarkEnd w:id="18"/>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重庆市第七人民医院采购工作组</w:t>
      </w:r>
    </w:p>
    <w:p>
      <w:pPr>
        <w:snapToGrid w:val="0"/>
        <w:spacing w:line="380" w:lineRule="exact"/>
        <w:ind w:firstLine="360" w:firstLineChars="15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rPr>
        <w:t>采购联系人</w:t>
      </w:r>
      <w:r>
        <w:rPr>
          <w:rFonts w:hint="eastAsia" w:ascii="方正仿宋_GBK" w:hAnsi="宋体" w:eastAsia="方正仿宋_GBK" w:cs="Times New Roman"/>
          <w:color w:val="auto"/>
          <w:sz w:val="24"/>
          <w:szCs w:val="24"/>
          <w:highlight w:val="none"/>
        </w:rPr>
        <w:t>：</w:t>
      </w:r>
      <w:r>
        <w:rPr>
          <w:rFonts w:hint="eastAsia" w:ascii="方正仿宋_GBK" w:hAnsi="宋体" w:eastAsia="方正仿宋_GBK" w:cs="Times New Roman"/>
          <w:color w:val="auto"/>
          <w:sz w:val="24"/>
          <w:szCs w:val="24"/>
          <w:highlight w:val="none"/>
          <w:lang w:val="en-US" w:eastAsia="zh-CN"/>
        </w:rPr>
        <w:t>胡</w:t>
      </w:r>
      <w:r>
        <w:rPr>
          <w:rFonts w:hint="eastAsia" w:ascii="方正仿宋_GBK" w:hAnsi="宋体" w:eastAsia="方正仿宋_GBK" w:cs="Times New Roman"/>
          <w:color w:val="auto"/>
          <w:sz w:val="24"/>
          <w:szCs w:val="24"/>
          <w:highlight w:val="none"/>
        </w:rPr>
        <w:t xml:space="preserve">老师 </w:t>
      </w:r>
      <w:r>
        <w:rPr>
          <w:rFonts w:hint="eastAsia" w:ascii="方正仿宋_GBK" w:hAnsi="宋体" w:eastAsia="方正仿宋_GBK" w:cs="Times New Roman"/>
          <w:color w:val="auto"/>
          <w:sz w:val="24"/>
          <w:szCs w:val="24"/>
          <w:highlight w:val="none"/>
          <w:lang w:val="en-US" w:eastAsia="zh-CN"/>
        </w:rPr>
        <w:t>潘</w:t>
      </w:r>
      <w:r>
        <w:rPr>
          <w:rFonts w:hint="eastAsia" w:ascii="方正仿宋_GBK" w:hAnsi="宋体" w:eastAsia="方正仿宋_GBK" w:cs="Times New Roman"/>
          <w:color w:val="auto"/>
          <w:sz w:val="24"/>
          <w:szCs w:val="24"/>
          <w:highlight w:val="none"/>
        </w:rPr>
        <w:t>老师   联系电话：023-62852113</w:t>
      </w:r>
    </w:p>
    <w:p>
      <w:pPr>
        <w:snapToGrid w:val="0"/>
        <w:spacing w:line="380" w:lineRule="exact"/>
        <w:ind w:firstLine="360" w:firstLineChars="150"/>
        <w:rPr>
          <w:rFonts w:hint="eastAsia" w:ascii="方正仿宋_GBK" w:hAnsi="宋体" w:eastAsia="方正仿宋_GBK" w:cs="Times New Roman"/>
          <w:color w:val="auto"/>
          <w:sz w:val="24"/>
          <w:szCs w:val="24"/>
          <w:highlight w:val="none"/>
          <w:lang w:val="en-US" w:eastAsia="zh-CN"/>
        </w:rPr>
      </w:pPr>
      <w:r>
        <w:rPr>
          <w:rFonts w:hint="eastAsia" w:ascii="方正仿宋_GBK" w:hAnsi="宋体" w:eastAsia="方正仿宋_GBK" w:cs="Times New Roman"/>
          <w:color w:val="auto"/>
          <w:sz w:val="24"/>
          <w:szCs w:val="24"/>
          <w:highlight w:val="none"/>
        </w:rPr>
        <w:t>技术老师：</w:t>
      </w:r>
      <w:r>
        <w:rPr>
          <w:rFonts w:hint="eastAsia" w:ascii="方正仿宋_GBK" w:hAnsi="宋体" w:eastAsia="方正仿宋_GBK" w:cs="Times New Roman"/>
          <w:color w:val="auto"/>
          <w:sz w:val="24"/>
          <w:szCs w:val="24"/>
          <w:highlight w:val="none"/>
          <w:lang w:val="en-US" w:eastAsia="zh-CN"/>
        </w:rPr>
        <w:t>王</w:t>
      </w:r>
      <w:r>
        <w:rPr>
          <w:rFonts w:hint="eastAsia" w:ascii="方正仿宋_GBK" w:hAnsi="宋体" w:eastAsia="方正仿宋_GBK" w:cs="Times New Roman"/>
          <w:color w:val="auto"/>
          <w:sz w:val="24"/>
          <w:szCs w:val="24"/>
          <w:highlight w:val="none"/>
        </w:rPr>
        <w:t>老师  联系电话：023-62866805</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工作时间：8:00-12:00 14:30-17:30</w:t>
      </w:r>
    </w:p>
    <w:p>
      <w:pPr>
        <w:snapToGrid w:val="0"/>
        <w:spacing w:line="380" w:lineRule="exact"/>
        <w:ind w:firstLine="360" w:firstLineChars="150"/>
        <w:rPr>
          <w:rFonts w:hint="eastAsia" w:ascii="方正仿宋_GBK" w:hAnsi="宋体" w:eastAsia="方正仿宋_GBK" w:cs="Times New Roman"/>
          <w:color w:val="auto"/>
          <w:sz w:val="24"/>
          <w:szCs w:val="24"/>
        </w:rPr>
        <w:sectPr>
          <w:footerReference r:id="rId4" w:type="default"/>
          <w:pgSz w:w="11907" w:h="16840"/>
          <w:pgMar w:top="1134" w:right="1191" w:bottom="1134" w:left="1304" w:header="794"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宋体" w:eastAsia="方正仿宋_GBK" w:cs="Times New Roman"/>
          <w:color w:val="auto"/>
          <w:sz w:val="24"/>
          <w:szCs w:val="24"/>
        </w:rPr>
        <w:t>地  址：重庆市巴南区李家沱工联一村1号，暨重庆市第七人民医院住院部采购工作组办公室。</w:t>
      </w:r>
    </w:p>
    <w:p>
      <w:pPr>
        <w:pStyle w:val="3"/>
        <w:spacing w:line="360" w:lineRule="auto"/>
        <w:jc w:val="center"/>
        <w:rPr>
          <w:rFonts w:hint="eastAsia" w:ascii="方正仿宋_GBK" w:hAnsi="仿宋" w:eastAsia="方正仿宋_GBK" w:cs="仿宋"/>
          <w:color w:val="auto"/>
          <w:kern w:val="0"/>
          <w:sz w:val="24"/>
          <w:szCs w:val="24"/>
          <w:highlight w:val="yellow"/>
        </w:rPr>
      </w:pPr>
      <w:bookmarkStart w:id="19" w:name="_Toc10802"/>
      <w:r>
        <w:rPr>
          <w:rFonts w:hint="eastAsia" w:ascii="方正小标宋_GBK" w:hAnsi="宋体" w:eastAsia="方正小标宋_GBK"/>
          <w:b/>
          <w:color w:val="auto"/>
          <w:sz w:val="36"/>
          <w:szCs w:val="36"/>
        </w:rPr>
        <w:t xml:space="preserve">第二篇  </w:t>
      </w:r>
      <w:r>
        <w:rPr>
          <w:rFonts w:hint="eastAsia" w:ascii="方正小标宋_GBK" w:hAnsi="宋体" w:eastAsia="方正小标宋_GBK"/>
          <w:b/>
          <w:color w:val="auto"/>
          <w:sz w:val="36"/>
          <w:szCs w:val="36"/>
          <w:highlight w:val="none"/>
        </w:rPr>
        <w:t>项目技术需求</w:t>
      </w:r>
      <w:bookmarkEnd w:id="19"/>
    </w:p>
    <w:p>
      <w:pPr>
        <w:snapToGrid w:val="0"/>
        <w:spacing w:line="380" w:lineRule="exact"/>
        <w:ind w:firstLine="361" w:firstLineChars="150"/>
        <w:rPr>
          <w:rFonts w:hint="default" w:ascii="方正仿宋_GBK" w:hAnsi="宋体" w:eastAsia="方正仿宋_GBK" w:cs="Times New Roman"/>
          <w:b/>
          <w:color w:val="auto"/>
          <w:kern w:val="2"/>
          <w:sz w:val="24"/>
          <w:szCs w:val="24"/>
          <w:lang w:val="en-US" w:eastAsia="zh-Hans" w:bidi="ar-SA"/>
        </w:rPr>
      </w:pPr>
      <w:bookmarkStart w:id="20" w:name="_Toc12789058"/>
      <w:bookmarkStart w:id="21" w:name="_Toc27552"/>
      <w:r>
        <w:rPr>
          <w:rFonts w:hint="eastAsia" w:ascii="方正仿宋_GBK" w:hAnsi="宋体" w:eastAsia="方正仿宋_GBK" w:cs="Times New Roman"/>
          <w:b/>
          <w:color w:val="auto"/>
          <w:kern w:val="2"/>
          <w:sz w:val="24"/>
          <w:szCs w:val="24"/>
          <w:lang w:val="en-US" w:eastAsia="zh-CN" w:bidi="ar-SA"/>
        </w:rPr>
        <w:t>一、</w:t>
      </w:r>
      <w:r>
        <w:rPr>
          <w:rFonts w:hint="default" w:ascii="方正仿宋_GBK" w:hAnsi="宋体" w:eastAsia="方正仿宋_GBK" w:cs="Times New Roman"/>
          <w:b/>
          <w:color w:val="auto"/>
          <w:kern w:val="2"/>
          <w:sz w:val="24"/>
          <w:szCs w:val="24"/>
          <w:lang w:val="en-US" w:eastAsia="zh-Hans" w:bidi="ar-SA"/>
        </w:rPr>
        <w:t>项目</w:t>
      </w:r>
      <w:r>
        <w:rPr>
          <w:rFonts w:hint="default" w:ascii="方正仿宋_GBK" w:hAnsi="宋体" w:eastAsia="方正仿宋_GBK" w:cs="Times New Roman"/>
          <w:b/>
          <w:color w:val="auto"/>
          <w:kern w:val="2"/>
          <w:sz w:val="24"/>
          <w:szCs w:val="24"/>
          <w:lang w:val="en-US" w:eastAsia="zh-CN" w:bidi="ar-SA"/>
        </w:rPr>
        <w:t>地点</w:t>
      </w:r>
    </w:p>
    <w:p>
      <w:pPr>
        <w:snapToGrid w:val="0"/>
        <w:spacing w:line="380" w:lineRule="exact"/>
        <w:ind w:firstLine="360" w:firstLineChars="150"/>
        <w:rPr>
          <w:rFonts w:hint="default" w:ascii="方正仿宋_GBK" w:hAnsi="宋体" w:eastAsia="方正仿宋_GBK" w:cs="Times New Roman"/>
          <w:color w:val="auto"/>
          <w:sz w:val="24"/>
          <w:szCs w:val="24"/>
          <w:lang w:val="en-US" w:eastAsia="zh-Hans"/>
        </w:rPr>
      </w:pPr>
      <w:r>
        <w:rPr>
          <w:rFonts w:hint="default" w:ascii="方正仿宋_GBK" w:hAnsi="宋体" w:eastAsia="方正仿宋_GBK" w:cs="Times New Roman"/>
          <w:color w:val="auto"/>
          <w:sz w:val="24"/>
          <w:szCs w:val="24"/>
          <w:lang w:val="en-US" w:eastAsia="zh-Hans"/>
        </w:rPr>
        <w:t>重庆</w:t>
      </w:r>
      <w:r>
        <w:rPr>
          <w:rFonts w:hint="eastAsia" w:ascii="方正仿宋_GBK" w:hAnsi="宋体" w:eastAsia="方正仿宋_GBK" w:cs="Times New Roman"/>
          <w:color w:val="auto"/>
          <w:sz w:val="24"/>
          <w:szCs w:val="24"/>
          <w:lang w:val="en-US" w:eastAsia="zh-CN"/>
        </w:rPr>
        <w:t>市</w:t>
      </w:r>
      <w:r>
        <w:rPr>
          <w:rFonts w:hint="default" w:ascii="方正仿宋_GBK" w:hAnsi="宋体" w:eastAsia="方正仿宋_GBK" w:cs="Times New Roman"/>
          <w:color w:val="auto"/>
          <w:sz w:val="24"/>
          <w:szCs w:val="24"/>
          <w:lang w:val="en-US" w:eastAsia="zh-CN"/>
        </w:rPr>
        <w:t>第七人民医院（含本部、马王坪、社区等）</w:t>
      </w:r>
      <w:r>
        <w:rPr>
          <w:rFonts w:hint="default" w:ascii="方正仿宋_GBK" w:hAnsi="宋体" w:eastAsia="方正仿宋_GBK" w:cs="Times New Roman"/>
          <w:color w:val="auto"/>
          <w:sz w:val="24"/>
          <w:szCs w:val="24"/>
          <w:lang w:val="en-US" w:eastAsia="zh-Hans"/>
        </w:rPr>
        <w:t>。</w:t>
      </w:r>
    </w:p>
    <w:p>
      <w:pPr>
        <w:snapToGrid w:val="0"/>
        <w:spacing w:line="380" w:lineRule="exact"/>
        <w:ind w:firstLine="361" w:firstLineChars="150"/>
        <w:rPr>
          <w:rFonts w:hint="default" w:ascii="方正仿宋_GBK" w:hAnsi="宋体" w:eastAsia="方正仿宋_GBK" w:cs="Times New Roman"/>
          <w:b/>
          <w:color w:val="auto"/>
          <w:kern w:val="2"/>
          <w:sz w:val="24"/>
          <w:szCs w:val="24"/>
          <w:lang w:val="en-US" w:eastAsia="zh-Hans" w:bidi="ar-SA"/>
        </w:rPr>
      </w:pPr>
      <w:r>
        <w:rPr>
          <w:rFonts w:hint="eastAsia" w:ascii="方正仿宋_GBK" w:hAnsi="宋体" w:eastAsia="方正仿宋_GBK" w:cs="Times New Roman"/>
          <w:b/>
          <w:color w:val="auto"/>
          <w:kern w:val="2"/>
          <w:sz w:val="24"/>
          <w:szCs w:val="24"/>
          <w:lang w:val="en-US" w:eastAsia="zh-CN" w:bidi="ar-SA"/>
        </w:rPr>
        <w:t>二、</w:t>
      </w:r>
      <w:r>
        <w:rPr>
          <w:rFonts w:hint="default" w:ascii="方正仿宋_GBK" w:hAnsi="宋体" w:eastAsia="方正仿宋_GBK" w:cs="Times New Roman"/>
          <w:b/>
          <w:color w:val="auto"/>
          <w:kern w:val="2"/>
          <w:sz w:val="24"/>
          <w:szCs w:val="24"/>
          <w:lang w:val="en-US" w:eastAsia="zh-CN" w:bidi="ar-SA"/>
        </w:rPr>
        <w:t>项目内容及规模</w:t>
      </w:r>
    </w:p>
    <w:p>
      <w:pPr>
        <w:snapToGrid w:val="0"/>
        <w:spacing w:line="400" w:lineRule="exact"/>
        <w:ind w:firstLine="480" w:firstLineChars="200"/>
        <w:rPr>
          <w:rFonts w:hint="eastAsia" w:ascii="方正楷体_GBK" w:hAnsi="方正楷体_GBK" w:eastAsia="方正楷体_GBK" w:cs="方正楷体_GBK"/>
          <w:b w:val="0"/>
          <w:bCs w:val="0"/>
          <w:color w:val="auto"/>
          <w:sz w:val="24"/>
          <w:szCs w:val="24"/>
          <w:lang w:val="en-US" w:eastAsia="zh-Hans"/>
        </w:rPr>
      </w:pPr>
      <w:r>
        <w:rPr>
          <w:rFonts w:hint="eastAsia" w:ascii="方正楷体_GBK" w:hAnsi="方正楷体_GBK" w:eastAsia="方正楷体_GBK" w:cs="方正楷体_GBK"/>
          <w:b w:val="0"/>
          <w:bCs w:val="0"/>
          <w:color w:val="auto"/>
          <w:sz w:val="24"/>
          <w:szCs w:val="24"/>
          <w:lang w:val="en-US" w:eastAsia="zh-CN"/>
        </w:rPr>
        <w:t>（一）服务内容：</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default" w:ascii="方正仿宋_GBK" w:hAnsi="宋体" w:eastAsia="方正仿宋_GBK" w:cs="Times New Roman"/>
          <w:color w:val="auto"/>
          <w:sz w:val="24"/>
          <w:szCs w:val="24"/>
          <w:lang w:val="en-US" w:eastAsia="zh-CN"/>
        </w:rPr>
        <w:t>完成共</w:t>
      </w:r>
      <w:r>
        <w:rPr>
          <w:rFonts w:hint="eastAsia" w:ascii="方正仿宋_GBK" w:hAnsi="宋体" w:eastAsia="方正仿宋_GBK" w:cs="Times New Roman"/>
          <w:color w:val="auto"/>
          <w:sz w:val="24"/>
          <w:szCs w:val="24"/>
          <w:lang w:val="en-US" w:eastAsia="zh-CN"/>
        </w:rPr>
        <w:t>24次满意度调查，包含12次三方满意度，12次国家满意度调查（以上表述的每次包含门诊+住院）。</w:t>
      </w:r>
    </w:p>
    <w:tbl>
      <w:tblPr>
        <w:tblStyle w:val="59"/>
        <w:tblW w:w="5394" w:type="pct"/>
        <w:jc w:val="center"/>
        <w:tblLayout w:type="fixed"/>
        <w:tblCellMar>
          <w:top w:w="0" w:type="dxa"/>
          <w:left w:w="108" w:type="dxa"/>
          <w:bottom w:w="0" w:type="dxa"/>
          <w:right w:w="108" w:type="dxa"/>
        </w:tblCellMar>
      </w:tblPr>
      <w:tblGrid>
        <w:gridCol w:w="562"/>
        <w:gridCol w:w="816"/>
        <w:gridCol w:w="1155"/>
        <w:gridCol w:w="1485"/>
        <w:gridCol w:w="1534"/>
        <w:gridCol w:w="1052"/>
        <w:gridCol w:w="1382"/>
        <w:gridCol w:w="1209"/>
      </w:tblGrid>
      <w:tr>
        <w:tblPrEx>
          <w:tblCellMar>
            <w:top w:w="0" w:type="dxa"/>
            <w:left w:w="108" w:type="dxa"/>
            <w:bottom w:w="0" w:type="dxa"/>
            <w:right w:w="108" w:type="dxa"/>
          </w:tblCellMar>
        </w:tblPrEx>
        <w:trPr>
          <w:trHeight w:val="1098" w:hRule="atLeast"/>
          <w:jc w:val="center"/>
        </w:trPr>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序号</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类别</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项目</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名称</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执行方式</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项目内容</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频次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共计</w:t>
            </w:r>
            <w:r>
              <w:rPr>
                <w:rFonts w:hint="eastAsia" w:ascii="方正仿宋_GBK" w:hAnsi="方正仿宋_GBK" w:eastAsia="方正仿宋_GBK" w:cs="方正仿宋_GBK"/>
                <w:color w:val="auto"/>
                <w:sz w:val="24"/>
                <w:szCs w:val="24"/>
                <w:lang w:eastAsia="zh-CN"/>
              </w:rPr>
              <w:t>）</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样本量</w:t>
            </w:r>
            <w:r>
              <w:rPr>
                <w:rFonts w:hint="eastAsia" w:ascii="方正仿宋_GBK" w:hAnsi="方正仿宋_GBK" w:eastAsia="方正仿宋_GBK" w:cs="方正仿宋_GBK"/>
                <w:color w:val="auto"/>
                <w:sz w:val="24"/>
                <w:szCs w:val="24"/>
                <w:lang w:eastAsia="zh-CN"/>
              </w:rPr>
              <w:br w:type="textWrapping"/>
            </w:r>
            <w:r>
              <w:rPr>
                <w:rFonts w:hint="eastAsia" w:ascii="方正仿宋_GBK" w:hAnsi="方正仿宋_GBK" w:eastAsia="方正仿宋_GBK" w:cs="方正仿宋_GBK"/>
                <w:color w:val="auto"/>
                <w:sz w:val="24"/>
                <w:szCs w:val="24"/>
                <w:lang w:eastAsia="zh-CN"/>
              </w:rPr>
              <w:t>（个/频次）</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总样本量（个/</w:t>
            </w:r>
            <w:r>
              <w:rPr>
                <w:rFonts w:hint="eastAsia"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auto"/>
                <w:sz w:val="24"/>
                <w:szCs w:val="24"/>
                <w:lang w:eastAsia="zh-CN"/>
              </w:rPr>
              <w:t>）</w:t>
            </w:r>
          </w:p>
        </w:tc>
      </w:tr>
      <w:tr>
        <w:tblPrEx>
          <w:tblCellMar>
            <w:top w:w="0" w:type="dxa"/>
            <w:left w:w="108" w:type="dxa"/>
            <w:bottom w:w="0" w:type="dxa"/>
            <w:right w:w="108" w:type="dxa"/>
          </w:tblCellMar>
        </w:tblPrEx>
        <w:trPr>
          <w:trHeight w:val="937" w:hRule="atLeast"/>
          <w:jc w:val="center"/>
        </w:trPr>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1</w:t>
            </w:r>
          </w:p>
        </w:tc>
        <w:tc>
          <w:tcPr>
            <w:tcW w:w="44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国考</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门诊患者调查</w:t>
            </w:r>
          </w:p>
        </w:tc>
        <w:tc>
          <w:tcPr>
            <w:tcW w:w="80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一对一随机面访、线上扫码</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门诊患者满意度调查</w:t>
            </w:r>
          </w:p>
        </w:tc>
        <w:tc>
          <w:tcPr>
            <w:tcW w:w="57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&gt;400份</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&gt;1600份</w:t>
            </w:r>
          </w:p>
        </w:tc>
      </w:tr>
      <w:tr>
        <w:tblPrEx>
          <w:tblCellMar>
            <w:top w:w="0" w:type="dxa"/>
            <w:left w:w="108" w:type="dxa"/>
            <w:bottom w:w="0" w:type="dxa"/>
            <w:right w:w="108" w:type="dxa"/>
          </w:tblCellMar>
        </w:tblPrEx>
        <w:trPr>
          <w:trHeight w:val="937" w:hRule="atLeast"/>
          <w:jc w:val="center"/>
        </w:trPr>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2</w:t>
            </w:r>
          </w:p>
        </w:tc>
        <w:tc>
          <w:tcPr>
            <w:tcW w:w="44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住院患者调查</w:t>
            </w:r>
          </w:p>
        </w:tc>
        <w:tc>
          <w:tcPr>
            <w:tcW w:w="807"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住院患者满意度调查</w:t>
            </w:r>
          </w:p>
        </w:tc>
        <w:tc>
          <w:tcPr>
            <w:tcW w:w="57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&gt;400份</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&gt;1600份</w:t>
            </w:r>
          </w:p>
        </w:tc>
      </w:tr>
      <w:tr>
        <w:tblPrEx>
          <w:tblCellMar>
            <w:top w:w="0" w:type="dxa"/>
            <w:left w:w="108" w:type="dxa"/>
            <w:bottom w:w="0" w:type="dxa"/>
            <w:right w:w="108" w:type="dxa"/>
          </w:tblCellMar>
        </w:tblPrEx>
        <w:trPr>
          <w:trHeight w:val="937" w:hRule="atLeast"/>
          <w:jc w:val="center"/>
        </w:trPr>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w:t>
            </w:r>
          </w:p>
        </w:tc>
        <w:tc>
          <w:tcPr>
            <w:tcW w:w="44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三方</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eastAsia="zh-CN"/>
              </w:rPr>
              <w:t>门诊患者调查</w:t>
            </w:r>
          </w:p>
        </w:tc>
        <w:tc>
          <w:tcPr>
            <w:tcW w:w="807" w:type="pct"/>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eastAsia="zh-CN"/>
              </w:rPr>
              <w:t>一对一随机面访</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eastAsia="zh-CN"/>
              </w:rPr>
              <w:t>门诊患者满意度调查</w:t>
            </w:r>
          </w:p>
        </w:tc>
        <w:tc>
          <w:tcPr>
            <w:tcW w:w="572" w:type="pct"/>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val="en-US" w:eastAsia="zh-CN"/>
              </w:rPr>
              <w:t>12</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val="en-US" w:eastAsia="zh-CN"/>
              </w:rPr>
              <w:t>&gt;500份</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val="en-US" w:eastAsia="zh-CN"/>
              </w:rPr>
              <w:t>&gt;2000份</w:t>
            </w:r>
          </w:p>
        </w:tc>
      </w:tr>
      <w:tr>
        <w:tblPrEx>
          <w:tblCellMar>
            <w:top w:w="0" w:type="dxa"/>
            <w:left w:w="108" w:type="dxa"/>
            <w:bottom w:w="0" w:type="dxa"/>
            <w:right w:w="108" w:type="dxa"/>
          </w:tblCellMar>
        </w:tblPrEx>
        <w:trPr>
          <w:trHeight w:val="937" w:hRule="atLeast"/>
          <w:jc w:val="center"/>
        </w:trPr>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w:t>
            </w:r>
          </w:p>
        </w:tc>
        <w:tc>
          <w:tcPr>
            <w:tcW w:w="443" w:type="pct"/>
            <w:vMerge w:val="continue"/>
            <w:tcBorders>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eastAsia="zh-CN"/>
              </w:rPr>
              <w:t>住院患者调查</w:t>
            </w:r>
          </w:p>
        </w:tc>
        <w:tc>
          <w:tcPr>
            <w:tcW w:w="807"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eastAsia="zh-CN"/>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eastAsia="zh-CN"/>
              </w:rPr>
              <w:t>住院患者满意度调查</w:t>
            </w:r>
          </w:p>
        </w:tc>
        <w:tc>
          <w:tcPr>
            <w:tcW w:w="572" w:type="pct"/>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val="en-US" w:eastAsia="zh-CN"/>
              </w:rPr>
              <w:t>&gt;500份</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center"/>
              <w:rPr>
                <w:rFonts w:hint="eastAsia" w:ascii="方正仿宋_GBK" w:hAnsi="方正仿宋_GBK" w:eastAsia="方正仿宋_GBK" w:cs="方正仿宋_GBK"/>
                <w:color w:val="auto"/>
                <w:sz w:val="24"/>
                <w:szCs w:val="24"/>
                <w:lang w:val="en-US" w:eastAsia="zh-CN" w:bidi="en-US"/>
              </w:rPr>
            </w:pPr>
            <w:r>
              <w:rPr>
                <w:rFonts w:hint="eastAsia" w:ascii="方正仿宋_GBK" w:hAnsi="方正仿宋_GBK" w:eastAsia="方正仿宋_GBK" w:cs="方正仿宋_GBK"/>
                <w:color w:val="auto"/>
                <w:sz w:val="24"/>
                <w:szCs w:val="24"/>
                <w:lang w:val="en-US" w:eastAsia="zh-CN"/>
              </w:rPr>
              <w:t>&gt;2000份</w:t>
            </w:r>
          </w:p>
        </w:tc>
      </w:tr>
      <w:tr>
        <w:tblPrEx>
          <w:tblCellMar>
            <w:top w:w="0" w:type="dxa"/>
            <w:left w:w="108" w:type="dxa"/>
            <w:bottom w:w="0" w:type="dxa"/>
            <w:right w:w="108" w:type="dxa"/>
          </w:tblCellMar>
        </w:tblPrEx>
        <w:trPr>
          <w:trHeight w:val="450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备注：</w:t>
            </w:r>
          </w:p>
          <w:p>
            <w:pPr>
              <w:pStyle w:val="36"/>
              <w:keepNext w:val="0"/>
              <w:keepLines w:val="0"/>
              <w:pageBreakBefore w:val="0"/>
              <w:widowControl w:val="0"/>
              <w:numPr>
                <w:ilvl w:val="0"/>
                <w:numId w:val="12"/>
              </w:numPr>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bidi="ar-SA"/>
              </w:rPr>
              <w:t>国家满意度调查要求样本三级清洗后门诊患者有效样本&gt;400份，住院患者有效样本&gt;400份，并在规定时间内完成数据上传（按照国家满意度要求开展）。</w:t>
            </w:r>
          </w:p>
          <w:p>
            <w:pPr>
              <w:pStyle w:val="36"/>
              <w:keepNext w:val="0"/>
              <w:keepLines w:val="0"/>
              <w:pageBreakBefore w:val="0"/>
              <w:widowControl w:val="0"/>
              <w:numPr>
                <w:ilvl w:val="0"/>
                <w:numId w:val="12"/>
              </w:numPr>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bidi="ar-SA"/>
              </w:rPr>
              <w:t>三方满意度调查按季度开展，每次门诊患者有效样本&gt;500份，住院患者有效样本&gt;500份（每次为门诊患者+住院患者满意度调查），同时出具每次调查产生的完整的、详细的满意度测评分析报告（患者满意度调查报告每次1份）。分析报告需在抽样调查完成后40日历日内出具。</w:t>
            </w:r>
          </w:p>
          <w:p>
            <w:pPr>
              <w:pStyle w:val="36"/>
              <w:keepNext w:val="0"/>
              <w:keepLines w:val="0"/>
              <w:pageBreakBefore w:val="0"/>
              <w:widowControl w:val="0"/>
              <w:numPr>
                <w:ilvl w:val="0"/>
                <w:numId w:val="12"/>
              </w:numPr>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bidi="ar-SA"/>
              </w:rPr>
              <w:t>另需在服务期内，每年12月31日之前完成首问负责制暗访每季度20份，共计80份；1次在职员工满意度调查；1次临床科室对行政职能部门满意度调查（院内开展、线上扫码），首问负责制暗访、员工满意度调查需出具1份报告。</w:t>
            </w:r>
          </w:p>
          <w:p>
            <w:pPr>
              <w:pStyle w:val="36"/>
              <w:keepNext w:val="0"/>
              <w:keepLines w:val="0"/>
              <w:pageBreakBefore w:val="0"/>
              <w:widowControl w:val="0"/>
              <w:numPr>
                <w:ilvl w:val="0"/>
                <w:numId w:val="12"/>
              </w:numPr>
              <w:kinsoku/>
              <w:wordWrap/>
              <w:overflowPunct/>
              <w:topLinePunct w:val="0"/>
              <w:autoSpaceDE/>
              <w:autoSpaceDN/>
              <w:bidi w:val="0"/>
              <w:adjustRightInd/>
              <w:snapToGrid/>
              <w:spacing w:line="360" w:lineRule="exact"/>
              <w:ind w:firstLine="0" w:firstLineChars="0"/>
              <w:textAlignment w:val="auto"/>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患者和员工调查对象含</w:t>
            </w:r>
            <w:r>
              <w:rPr>
                <w:rFonts w:hint="eastAsia" w:ascii="方正仿宋_GBK" w:hAnsi="方正仿宋_GBK" w:eastAsia="方正仿宋_GBK" w:cs="方正仿宋_GBK"/>
                <w:color w:val="auto"/>
                <w:sz w:val="24"/>
                <w:szCs w:val="24"/>
                <w:lang w:val="en-US" w:eastAsia="zh-Hans"/>
              </w:rPr>
              <w:t>重庆</w:t>
            </w:r>
            <w:r>
              <w:rPr>
                <w:rFonts w:hint="eastAsia" w:ascii="方正仿宋_GBK" w:hAnsi="方正仿宋_GBK" w:eastAsia="方正仿宋_GBK" w:cs="方正仿宋_GBK"/>
                <w:color w:val="auto"/>
                <w:sz w:val="24"/>
                <w:szCs w:val="24"/>
                <w:lang w:val="en-US" w:eastAsia="zh-CN"/>
              </w:rPr>
              <w:t>市第七人民医院</w:t>
            </w:r>
            <w:r>
              <w:rPr>
                <w:rFonts w:hint="eastAsia" w:ascii="方正仿宋_GBK" w:hAnsi="方正仿宋_GBK" w:eastAsia="方正仿宋_GBK" w:cs="方正仿宋_GBK"/>
                <w:color w:val="auto"/>
                <w:kern w:val="2"/>
                <w:sz w:val="24"/>
                <w:szCs w:val="24"/>
                <w:lang w:val="en-US" w:eastAsia="zh-CN" w:bidi="ar-SA"/>
              </w:rPr>
              <w:t>（本部、马王坪、社区等）。</w:t>
            </w:r>
          </w:p>
        </w:tc>
      </w:tr>
    </w:tbl>
    <w:p>
      <w:pPr>
        <w:snapToGrid w:val="0"/>
        <w:spacing w:line="400" w:lineRule="exact"/>
        <w:ind w:firstLine="480" w:firstLineChars="200"/>
        <w:rPr>
          <w:rFonts w:hint="default" w:ascii="方正楷体_GBK" w:hAnsi="方正楷体_GBK" w:eastAsia="方正楷体_GBK" w:cs="方正楷体_GBK"/>
          <w:b w:val="0"/>
          <w:bCs w:val="0"/>
          <w:color w:val="auto"/>
          <w:sz w:val="24"/>
          <w:szCs w:val="24"/>
          <w:lang w:val="en-US" w:eastAsia="zh-CN"/>
        </w:rPr>
      </w:pPr>
      <w:r>
        <w:rPr>
          <w:rFonts w:hint="eastAsia" w:ascii="方正楷体_GBK" w:hAnsi="方正楷体_GBK" w:eastAsia="方正楷体_GBK" w:cs="方正楷体_GBK"/>
          <w:b w:val="0"/>
          <w:bCs w:val="0"/>
          <w:color w:val="auto"/>
          <w:sz w:val="24"/>
          <w:szCs w:val="24"/>
          <w:lang w:val="en-US" w:eastAsia="zh-CN"/>
        </w:rPr>
        <w:t>（二）</w:t>
      </w:r>
      <w:r>
        <w:rPr>
          <w:rFonts w:hint="default" w:ascii="方正楷体_GBK" w:hAnsi="方正楷体_GBK" w:eastAsia="方正楷体_GBK" w:cs="方正楷体_GBK"/>
          <w:b w:val="0"/>
          <w:bCs w:val="0"/>
          <w:color w:val="auto"/>
          <w:sz w:val="24"/>
          <w:szCs w:val="24"/>
          <w:lang w:val="en-US" w:eastAsia="zh-CN"/>
        </w:rPr>
        <w:t>服务方式与质量</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（1）按照统计学原则开展抽样调查工作，保证调查结果真实、有效，在调查结束后有数据校验报告。</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（2）调查问卷设计要求：测评问卷必须经过统计学信度效度验证，并符合和对应国家对于医院建设管理的标准要求，测评指标涵盖医院管理各主要流程和质控要点，可根据医院需求设置个性化测评指标。</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（3）数据可溯源性要求：要求调查采集全部数据均应具备可溯源性，随时备查,具备问卷过程影像资料,音频资料的收集、储存、整理、调取功能,医院可全程监控调查过程。</w:t>
      </w:r>
    </w:p>
    <w:p>
      <w:pPr>
        <w:snapToGrid w:val="0"/>
        <w:spacing w:line="400" w:lineRule="exact"/>
        <w:ind w:firstLine="480" w:firstLineChars="200"/>
        <w:rPr>
          <w:rFonts w:hint="default" w:ascii="方正楷体_GBK" w:hAnsi="方正楷体_GBK" w:eastAsia="方正楷体_GBK" w:cs="方正楷体_GBK"/>
          <w:b w:val="0"/>
          <w:bCs w:val="0"/>
          <w:color w:val="auto"/>
          <w:sz w:val="24"/>
          <w:szCs w:val="24"/>
          <w:lang w:val="en-US" w:eastAsia="zh-CN"/>
        </w:rPr>
      </w:pPr>
      <w:r>
        <w:rPr>
          <w:rFonts w:hint="eastAsia" w:ascii="方正楷体_GBK" w:hAnsi="方正楷体_GBK" w:eastAsia="方正楷体_GBK" w:cs="方正楷体_GBK"/>
          <w:b w:val="0"/>
          <w:bCs w:val="0"/>
          <w:color w:val="auto"/>
          <w:sz w:val="24"/>
          <w:szCs w:val="24"/>
          <w:lang w:val="en-US" w:eastAsia="zh-CN"/>
        </w:rPr>
        <w:t>（三）基本要求</w:t>
      </w:r>
    </w:p>
    <w:p>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w:t>
      </w:r>
      <w:r>
        <w:rPr>
          <w:rFonts w:hint="default" w:ascii="方正仿宋_GBK" w:hAnsi="宋体" w:eastAsia="方正仿宋_GBK" w:cs="Times New Roman"/>
          <w:color w:val="auto"/>
          <w:sz w:val="24"/>
          <w:szCs w:val="24"/>
          <w:lang w:val="en-US" w:eastAsia="zh-CN"/>
        </w:rPr>
        <w:t>第三方患者满意度调查</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w:t>
      </w:r>
      <w:r>
        <w:rPr>
          <w:rFonts w:hint="default" w:ascii="方正仿宋_GBK" w:hAnsi="宋体" w:eastAsia="方正仿宋_GBK" w:cs="Times New Roman"/>
          <w:color w:val="auto"/>
          <w:sz w:val="24"/>
          <w:szCs w:val="24"/>
          <w:lang w:val="en-US" w:eastAsia="zh-CN"/>
        </w:rPr>
        <w:t>测评对象与范围：医院的门诊患者</w:t>
      </w:r>
      <w:r>
        <w:rPr>
          <w:rFonts w:hint="eastAsia" w:ascii="方正仿宋_GBK" w:hAnsi="宋体" w:eastAsia="方正仿宋_GBK" w:cs="Times New Roman"/>
          <w:color w:val="auto"/>
          <w:sz w:val="24"/>
          <w:szCs w:val="24"/>
          <w:lang w:val="en-US" w:eastAsia="zh-CN"/>
        </w:rPr>
        <w:t>、</w:t>
      </w:r>
      <w:r>
        <w:rPr>
          <w:rFonts w:hint="default" w:ascii="方正仿宋_GBK" w:hAnsi="宋体" w:eastAsia="方正仿宋_GBK" w:cs="Times New Roman"/>
          <w:color w:val="auto"/>
          <w:sz w:val="24"/>
          <w:szCs w:val="24"/>
          <w:lang w:val="en-US" w:eastAsia="zh-CN"/>
        </w:rPr>
        <w:t>住院患者，应当覆盖全院各临床科室；</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w:t>
      </w:r>
      <w:r>
        <w:rPr>
          <w:rFonts w:hint="default" w:ascii="方正仿宋_GBK" w:hAnsi="宋体" w:eastAsia="方正仿宋_GBK" w:cs="Times New Roman"/>
          <w:color w:val="auto"/>
          <w:sz w:val="24"/>
          <w:szCs w:val="24"/>
          <w:lang w:val="en-US" w:eastAsia="zh-CN"/>
        </w:rPr>
        <w:t>测评方式：信息化手段下的第三方机构应用前端设备（平板电脑、二维码）测评以及平台进行结果呈现查询；</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w:t>
      </w:r>
      <w:r>
        <w:rPr>
          <w:rFonts w:hint="default" w:ascii="方正仿宋_GBK" w:hAnsi="宋体" w:eastAsia="方正仿宋_GBK" w:cs="Times New Roman"/>
          <w:color w:val="auto"/>
          <w:sz w:val="24"/>
          <w:szCs w:val="24"/>
          <w:lang w:val="en-US" w:eastAsia="zh-CN"/>
        </w:rPr>
        <w:t>测评频次：每</w:t>
      </w:r>
      <w:r>
        <w:rPr>
          <w:rFonts w:hint="eastAsia" w:ascii="方正仿宋_GBK" w:hAnsi="宋体" w:eastAsia="方正仿宋_GBK" w:cs="Times New Roman"/>
          <w:color w:val="auto"/>
          <w:sz w:val="24"/>
          <w:szCs w:val="24"/>
          <w:lang w:val="en-US" w:eastAsia="zh-CN"/>
        </w:rPr>
        <w:t>季度</w:t>
      </w:r>
      <w:r>
        <w:rPr>
          <w:rFonts w:hint="default" w:ascii="方正仿宋_GBK" w:hAnsi="宋体" w:eastAsia="方正仿宋_GBK" w:cs="Times New Roman"/>
          <w:color w:val="auto"/>
          <w:sz w:val="24"/>
          <w:szCs w:val="24"/>
          <w:lang w:val="en-US" w:eastAsia="zh-CN"/>
        </w:rPr>
        <w:t>测评一次，</w:t>
      </w:r>
      <w:r>
        <w:rPr>
          <w:rFonts w:hint="eastAsia" w:ascii="方正仿宋_GBK" w:hAnsi="宋体" w:eastAsia="方正仿宋_GBK" w:cs="Times New Roman"/>
          <w:color w:val="auto"/>
          <w:sz w:val="24"/>
          <w:szCs w:val="24"/>
          <w:lang w:val="en-US" w:eastAsia="zh-CN"/>
        </w:rPr>
        <w:t>总共完成12次。</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（4）</w:t>
      </w:r>
      <w:r>
        <w:rPr>
          <w:rFonts w:hint="default" w:ascii="方正仿宋_GBK" w:hAnsi="宋体" w:eastAsia="方正仿宋_GBK" w:cs="Times New Roman"/>
          <w:color w:val="auto"/>
          <w:sz w:val="24"/>
          <w:szCs w:val="24"/>
          <w:lang w:val="en-US" w:eastAsia="zh-CN"/>
        </w:rPr>
        <w:t>向三方租用满意度调查大数据云平台管理</w:t>
      </w:r>
      <w:r>
        <w:rPr>
          <w:rFonts w:hint="eastAsia" w:ascii="方正仿宋_GBK" w:hAnsi="宋体" w:eastAsia="方正仿宋_GBK" w:cs="Times New Roman"/>
          <w:color w:val="auto"/>
          <w:sz w:val="24"/>
          <w:szCs w:val="24"/>
          <w:lang w:val="en-US" w:eastAsia="zh-CN"/>
        </w:rPr>
        <w:t>4</w:t>
      </w:r>
      <w:r>
        <w:rPr>
          <w:rFonts w:hint="default" w:ascii="方正仿宋_GBK" w:hAnsi="宋体" w:eastAsia="方正仿宋_GBK" w:cs="Times New Roman"/>
          <w:color w:val="auto"/>
          <w:sz w:val="24"/>
          <w:szCs w:val="24"/>
          <w:lang w:val="en-US" w:eastAsia="zh-CN"/>
        </w:rPr>
        <w:t>次/年，以及满意度测评用户端，用于院方平时收集患者满意度信息，将日常数据收集储存在平台中，结合第三方患者满意度的实施，形成每</w:t>
      </w:r>
      <w:r>
        <w:rPr>
          <w:rFonts w:hint="eastAsia" w:ascii="方正仿宋_GBK" w:hAnsi="宋体" w:eastAsia="方正仿宋_GBK" w:cs="Times New Roman"/>
          <w:color w:val="auto"/>
          <w:sz w:val="24"/>
          <w:szCs w:val="24"/>
          <w:lang w:val="en-US" w:eastAsia="zh-CN"/>
        </w:rPr>
        <w:t>季度</w:t>
      </w:r>
      <w:r>
        <w:rPr>
          <w:rFonts w:hint="default" w:ascii="方正仿宋_GBK" w:hAnsi="宋体" w:eastAsia="方正仿宋_GBK" w:cs="Times New Roman"/>
          <w:color w:val="auto"/>
          <w:sz w:val="24"/>
          <w:szCs w:val="24"/>
          <w:lang w:val="en-US" w:eastAsia="zh-CN"/>
        </w:rPr>
        <w:t>一次满意度测评，进行数据分析，平台需展示每次数据的呈现和结果分析，同时向院方提供</w:t>
      </w:r>
      <w:r>
        <w:rPr>
          <w:rFonts w:hint="eastAsia" w:ascii="方正仿宋_GBK" w:hAnsi="宋体" w:eastAsia="方正仿宋_GBK" w:cs="Times New Roman"/>
          <w:color w:val="auto"/>
          <w:sz w:val="24"/>
          <w:szCs w:val="24"/>
          <w:lang w:val="en-US" w:eastAsia="zh-CN"/>
        </w:rPr>
        <w:t>当次</w:t>
      </w:r>
      <w:r>
        <w:rPr>
          <w:rFonts w:hint="default" w:ascii="方正仿宋_GBK" w:hAnsi="宋体" w:eastAsia="方正仿宋_GBK" w:cs="Times New Roman"/>
          <w:color w:val="auto"/>
          <w:sz w:val="24"/>
          <w:szCs w:val="24"/>
          <w:lang w:val="en-US" w:eastAsia="zh-CN"/>
        </w:rPr>
        <w:t>纸质分析报告，为院方绩效考核提供依据。</w:t>
      </w:r>
    </w:p>
    <w:p>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2.国家</w:t>
      </w:r>
      <w:r>
        <w:rPr>
          <w:rFonts w:hint="default" w:ascii="方正仿宋_GBK" w:hAnsi="宋体" w:eastAsia="方正仿宋_GBK" w:cs="Times New Roman"/>
          <w:color w:val="auto"/>
          <w:sz w:val="24"/>
          <w:szCs w:val="24"/>
          <w:lang w:val="en-US" w:eastAsia="zh-CN"/>
        </w:rPr>
        <w:t>满意度调查</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w:t>
      </w:r>
      <w:r>
        <w:rPr>
          <w:rFonts w:hint="default" w:ascii="方正仿宋_GBK" w:hAnsi="宋体" w:eastAsia="方正仿宋_GBK" w:cs="Times New Roman"/>
          <w:color w:val="auto"/>
          <w:sz w:val="24"/>
          <w:szCs w:val="24"/>
          <w:lang w:val="en-US" w:eastAsia="zh-CN"/>
        </w:rPr>
        <w:t>测评对象与范围：门诊和住院病人满意度测评；</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w:t>
      </w:r>
      <w:r>
        <w:rPr>
          <w:rFonts w:hint="default" w:ascii="方正仿宋_GBK" w:hAnsi="宋体" w:eastAsia="方正仿宋_GBK" w:cs="Times New Roman"/>
          <w:color w:val="auto"/>
          <w:sz w:val="24"/>
          <w:szCs w:val="24"/>
          <w:lang w:val="en-US" w:eastAsia="zh-CN"/>
        </w:rPr>
        <w:t>测评方式：信息化手段下的第三方机构应用前端设备（平板电脑、二维码）测评以及平台进行结果呈现查询；</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w:t>
      </w:r>
      <w:r>
        <w:rPr>
          <w:rFonts w:hint="default" w:ascii="方正仿宋_GBK" w:hAnsi="宋体" w:eastAsia="方正仿宋_GBK" w:cs="Times New Roman"/>
          <w:color w:val="auto"/>
          <w:sz w:val="24"/>
          <w:szCs w:val="24"/>
          <w:lang w:val="en-US" w:eastAsia="zh-CN"/>
        </w:rPr>
        <w:t>测评频次：完成测评量要求，</w:t>
      </w:r>
      <w:r>
        <w:rPr>
          <w:rFonts w:hint="eastAsia" w:ascii="方正仿宋_GBK" w:hAnsi="宋体" w:eastAsia="方正仿宋_GBK" w:cs="Times New Roman"/>
          <w:color w:val="auto"/>
          <w:sz w:val="24"/>
          <w:szCs w:val="24"/>
          <w:lang w:val="en-US" w:eastAsia="zh-CN"/>
        </w:rPr>
        <w:t>12</w:t>
      </w:r>
      <w:r>
        <w:rPr>
          <w:rFonts w:hint="default" w:ascii="方正仿宋_GBK" w:hAnsi="宋体" w:eastAsia="方正仿宋_GBK" w:cs="Times New Roman"/>
          <w:color w:val="auto"/>
          <w:sz w:val="24"/>
          <w:szCs w:val="24"/>
          <w:lang w:val="en-US" w:eastAsia="zh-CN"/>
        </w:rPr>
        <w:t>次。</w:t>
      </w:r>
    </w:p>
    <w:p>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3.员工满意度调查</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w:t>
      </w:r>
      <w:r>
        <w:rPr>
          <w:rFonts w:hint="default" w:ascii="方正仿宋_GBK" w:hAnsi="宋体" w:eastAsia="方正仿宋_GBK" w:cs="Times New Roman"/>
          <w:color w:val="auto"/>
          <w:sz w:val="24"/>
          <w:szCs w:val="24"/>
          <w:lang w:val="en-US" w:eastAsia="zh-CN"/>
        </w:rPr>
        <w:t>测评对象于范围：</w:t>
      </w:r>
      <w:r>
        <w:rPr>
          <w:rFonts w:hint="eastAsia" w:ascii="方正仿宋_GBK" w:hAnsi="宋体" w:eastAsia="方正仿宋_GBK" w:cs="Times New Roman"/>
          <w:color w:val="auto"/>
          <w:sz w:val="24"/>
          <w:szCs w:val="24"/>
          <w:lang w:val="en-US" w:eastAsia="zh-CN"/>
        </w:rPr>
        <w:t>在职员工对医院的</w:t>
      </w:r>
      <w:r>
        <w:rPr>
          <w:rFonts w:hint="default" w:ascii="方正仿宋_GBK" w:hAnsi="宋体" w:eastAsia="方正仿宋_GBK" w:cs="Times New Roman"/>
          <w:color w:val="auto"/>
          <w:sz w:val="24"/>
          <w:szCs w:val="24"/>
          <w:lang w:val="en-US" w:eastAsia="zh-CN"/>
        </w:rPr>
        <w:t>满意度测评；</w:t>
      </w:r>
      <w:r>
        <w:rPr>
          <w:rFonts w:hint="eastAsia" w:ascii="方正仿宋_GBK" w:hAnsi="宋体" w:eastAsia="方正仿宋_GBK" w:cs="Times New Roman"/>
          <w:color w:val="auto"/>
          <w:sz w:val="24"/>
          <w:szCs w:val="24"/>
          <w:lang w:val="en-US" w:eastAsia="zh-CN"/>
        </w:rPr>
        <w:t>临</w:t>
      </w:r>
      <w:r>
        <w:rPr>
          <w:rFonts w:hint="default" w:ascii="方正仿宋_GBK" w:hAnsi="宋体" w:eastAsia="方正仿宋_GBK" w:cs="Times New Roman"/>
          <w:color w:val="auto"/>
          <w:sz w:val="24"/>
          <w:szCs w:val="24"/>
          <w:lang w:val="en-US" w:eastAsia="zh-CN"/>
        </w:rPr>
        <w:t>床科室对行政职能部门满意度调查</w:t>
      </w:r>
      <w:r>
        <w:rPr>
          <w:rFonts w:hint="eastAsia" w:ascii="方正仿宋_GBK" w:hAnsi="宋体" w:eastAsia="方正仿宋_GBK" w:cs="Times New Roman"/>
          <w:color w:val="auto"/>
          <w:sz w:val="24"/>
          <w:szCs w:val="24"/>
          <w:lang w:val="en-US" w:eastAsia="zh-CN"/>
        </w:rPr>
        <w:t>。</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w:t>
      </w:r>
      <w:r>
        <w:rPr>
          <w:rFonts w:hint="default" w:ascii="方正仿宋_GBK" w:hAnsi="宋体" w:eastAsia="方正仿宋_GBK" w:cs="Times New Roman"/>
          <w:color w:val="auto"/>
          <w:sz w:val="24"/>
          <w:szCs w:val="24"/>
          <w:lang w:val="en-US" w:eastAsia="zh-CN"/>
        </w:rPr>
        <w:t>测评方式：信息化手段下的第三方机构应用前端设备（平板电脑、二维码）测评以及平台进行结果呈现查询；</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w:t>
      </w:r>
      <w:r>
        <w:rPr>
          <w:rFonts w:hint="default" w:ascii="方正仿宋_GBK" w:hAnsi="宋体" w:eastAsia="方正仿宋_GBK" w:cs="Times New Roman"/>
          <w:color w:val="auto"/>
          <w:sz w:val="24"/>
          <w:szCs w:val="24"/>
          <w:lang w:val="en-US" w:eastAsia="zh-CN"/>
        </w:rPr>
        <w:t>测评频次：完成测评量要求，</w:t>
      </w:r>
      <w:r>
        <w:rPr>
          <w:rFonts w:hint="eastAsia" w:ascii="方正仿宋_GBK" w:hAnsi="宋体" w:eastAsia="方正仿宋_GBK" w:cs="Times New Roman"/>
          <w:color w:val="auto"/>
          <w:sz w:val="24"/>
          <w:szCs w:val="24"/>
          <w:lang w:val="en-US" w:eastAsia="zh-CN"/>
        </w:rPr>
        <w:t>每年年底各一次</w:t>
      </w:r>
      <w:r>
        <w:rPr>
          <w:rFonts w:hint="default" w:ascii="方正仿宋_GBK" w:hAnsi="宋体" w:eastAsia="方正仿宋_GBK" w:cs="Times New Roman"/>
          <w:color w:val="auto"/>
          <w:sz w:val="24"/>
          <w:szCs w:val="24"/>
          <w:lang w:val="en-US" w:eastAsia="zh-CN"/>
        </w:rPr>
        <w:t>。</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default" w:ascii="方正仿宋_GBK" w:hAnsi="宋体" w:eastAsia="方正仿宋_GBK" w:cs="Times New Roman"/>
          <w:color w:val="auto"/>
          <w:sz w:val="24"/>
          <w:szCs w:val="24"/>
          <w:lang w:val="en-US" w:eastAsia="zh-CN"/>
        </w:rPr>
        <w:t>投标企业应全面了解医疗机构相关政策、行业、管理标准，应具备医疗卫生行业专业调查分析咨询背景；年度总解析，安排专业人士为我院进行数据解读及现场分析指导，确保数据结果应用最大化。</w:t>
      </w:r>
    </w:p>
    <w:p>
      <w:pPr>
        <w:snapToGrid w:val="0"/>
        <w:spacing w:line="400" w:lineRule="exact"/>
        <w:ind w:firstLine="480" w:firstLineChars="20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4.</w:t>
      </w:r>
      <w:r>
        <w:rPr>
          <w:rFonts w:hint="default" w:ascii="方正仿宋_GBK" w:hAnsi="宋体" w:eastAsia="方正仿宋_GBK" w:cs="Times New Roman"/>
          <w:color w:val="auto"/>
          <w:sz w:val="24"/>
          <w:szCs w:val="24"/>
          <w:lang w:val="en-US" w:eastAsia="zh-CN"/>
        </w:rPr>
        <w:t>调查样本量要求：</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国家满意度：</w:t>
      </w:r>
      <w:r>
        <w:rPr>
          <w:rFonts w:hint="default" w:ascii="方正仿宋_GBK" w:hAnsi="宋体" w:eastAsia="方正仿宋_GBK" w:cs="Times New Roman"/>
          <w:color w:val="auto"/>
          <w:sz w:val="24"/>
          <w:szCs w:val="24"/>
          <w:lang w:val="en-US" w:eastAsia="zh-CN"/>
        </w:rPr>
        <w:t>住院患者：</w:t>
      </w:r>
      <w:r>
        <w:rPr>
          <w:rFonts w:hint="eastAsia" w:ascii="方正仿宋_GBK" w:hAnsi="宋体" w:eastAsia="方正仿宋_GBK" w:cs="Times New Roman"/>
          <w:color w:val="auto"/>
          <w:sz w:val="24"/>
          <w:szCs w:val="24"/>
          <w:lang w:val="en-US" w:eastAsia="zh-CN"/>
        </w:rPr>
        <w:t>三级清洗后有效样本&gt;400份</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default" w:ascii="方正仿宋_GBK" w:hAnsi="宋体" w:eastAsia="方正仿宋_GBK" w:cs="Times New Roman"/>
          <w:color w:val="auto"/>
          <w:sz w:val="24"/>
          <w:szCs w:val="24"/>
          <w:lang w:val="en-US" w:eastAsia="zh-CN"/>
        </w:rPr>
        <w:t>门（急）诊患者：</w:t>
      </w:r>
      <w:r>
        <w:rPr>
          <w:rFonts w:hint="eastAsia" w:ascii="方正仿宋_GBK" w:hAnsi="宋体" w:eastAsia="方正仿宋_GBK" w:cs="Times New Roman"/>
          <w:color w:val="auto"/>
          <w:sz w:val="24"/>
          <w:szCs w:val="24"/>
          <w:lang w:val="en-US" w:eastAsia="zh-CN"/>
        </w:rPr>
        <w:t>三级清洗后有效样本&gt;400份</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default" w:ascii="方正仿宋_GBK" w:hAnsi="宋体" w:eastAsia="方正仿宋_GBK" w:cs="Times New Roman"/>
          <w:color w:val="auto"/>
          <w:sz w:val="24"/>
          <w:szCs w:val="24"/>
          <w:lang w:val="en-US" w:eastAsia="zh-CN"/>
        </w:rPr>
        <w:t>第三方患者满意度</w:t>
      </w:r>
      <w:r>
        <w:rPr>
          <w:rFonts w:hint="eastAsia" w:ascii="方正仿宋_GBK" w:hAnsi="宋体" w:eastAsia="方正仿宋_GBK" w:cs="Times New Roman"/>
          <w:color w:val="auto"/>
          <w:sz w:val="24"/>
          <w:szCs w:val="24"/>
          <w:lang w:val="en-US" w:eastAsia="zh-CN"/>
        </w:rPr>
        <w:t>：</w:t>
      </w:r>
      <w:r>
        <w:rPr>
          <w:rFonts w:hint="default" w:ascii="方正仿宋_GBK" w:hAnsi="宋体" w:eastAsia="方正仿宋_GBK" w:cs="Times New Roman"/>
          <w:color w:val="auto"/>
          <w:sz w:val="24"/>
          <w:szCs w:val="24"/>
          <w:lang w:val="en-US" w:eastAsia="zh-CN"/>
        </w:rPr>
        <w:t>抽样根据医院各科室具体人数配比划分，样本量分配将按照各科的人数进行分配并适当调整</w:t>
      </w:r>
      <w:r>
        <w:rPr>
          <w:rFonts w:hint="eastAsia" w:ascii="方正仿宋_GBK" w:hAnsi="宋体" w:eastAsia="方正仿宋_GBK" w:cs="Times New Roman"/>
          <w:color w:val="auto"/>
          <w:sz w:val="24"/>
          <w:szCs w:val="24"/>
          <w:lang w:val="en-US" w:eastAsia="zh-CN"/>
        </w:rPr>
        <w:t>。</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员工满意度要求在职员工全覆盖。</w:t>
      </w:r>
    </w:p>
    <w:p>
      <w:pPr>
        <w:snapToGrid w:val="0"/>
        <w:spacing w:line="400" w:lineRule="exact"/>
        <w:ind w:firstLine="480" w:firstLineChars="200"/>
        <w:rPr>
          <w:rFonts w:hint="eastAsia" w:ascii="方正楷体_GBK" w:hAnsi="方正楷体_GBK" w:eastAsia="方正楷体_GBK" w:cs="方正楷体_GBK"/>
          <w:b w:val="0"/>
          <w:bCs w:val="0"/>
          <w:color w:val="auto"/>
          <w:sz w:val="24"/>
          <w:szCs w:val="24"/>
          <w:lang w:val="en-US" w:eastAsia="zh-CN"/>
        </w:rPr>
      </w:pPr>
      <w:r>
        <w:rPr>
          <w:rFonts w:hint="eastAsia" w:ascii="方正楷体_GBK" w:hAnsi="方正楷体_GBK" w:eastAsia="方正楷体_GBK" w:cs="方正楷体_GBK"/>
          <w:b w:val="0"/>
          <w:bCs w:val="0"/>
          <w:color w:val="auto"/>
          <w:sz w:val="24"/>
          <w:szCs w:val="24"/>
          <w:lang w:val="en-US" w:eastAsia="zh-CN"/>
        </w:rPr>
        <w:t>（四）服务要求</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w:t>
      </w:r>
      <w:r>
        <w:rPr>
          <w:rFonts w:hint="default" w:ascii="方正仿宋_GBK" w:hAnsi="宋体" w:eastAsia="方正仿宋_GBK" w:cs="Times New Roman"/>
          <w:color w:val="auto"/>
          <w:sz w:val="24"/>
          <w:szCs w:val="24"/>
          <w:lang w:val="en-US" w:eastAsia="zh-CN"/>
        </w:rPr>
        <w:t xml:space="preserve">测评工具：门（急）诊患者、在职员工测评采用独立第三方样本采集方式，应当利用信息化手段实施采集，具有独立的测评终端和采集软件系统，数据采集为保证真实客观应具有音频、影像等功能，调查采集全部数据均应具备可溯源性，随时备查,具备样本过程影像资料,音频资料的收集、储存、整理、调取功能,各参与测评医疗机构可全程、随时监控调查过程。 </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w:t>
      </w:r>
      <w:r>
        <w:rPr>
          <w:rFonts w:hint="default" w:ascii="方正仿宋_GBK" w:hAnsi="宋体" w:eastAsia="方正仿宋_GBK" w:cs="Times New Roman"/>
          <w:color w:val="auto"/>
          <w:sz w:val="24"/>
          <w:szCs w:val="24"/>
          <w:lang w:val="en-US" w:eastAsia="zh-CN"/>
        </w:rPr>
        <w:t xml:space="preserve">信息技术：调查数据采集完毕后，应具有安全完善的信息传输系统和路径，确保数据链全封闭流动，杜绝人为对数据进行修改的可能性，具有信息安全技术保障。 </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w:t>
      </w:r>
      <w:r>
        <w:rPr>
          <w:rFonts w:hint="default" w:ascii="方正仿宋_GBK" w:hAnsi="宋体" w:eastAsia="方正仿宋_GBK" w:cs="Times New Roman"/>
          <w:color w:val="auto"/>
          <w:sz w:val="24"/>
          <w:szCs w:val="24"/>
          <w:lang w:val="en-US" w:eastAsia="zh-CN"/>
        </w:rPr>
        <w:t xml:space="preserve">数据分析应用：应具备信息化数据分析平台及后台软件支撑系统，实现数据的多维度分析与利用，并为患者管理及员工管理提出科学的品质提升优先改进选择建议, 为医疗机构提供历史改进效果监测和记录工作； </w:t>
      </w:r>
    </w:p>
    <w:p>
      <w:pPr>
        <w:snapToGrid w:val="0"/>
        <w:spacing w:line="380" w:lineRule="exact"/>
        <w:ind w:firstLine="360" w:firstLineChars="150"/>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（4）</w:t>
      </w:r>
      <w:r>
        <w:rPr>
          <w:rFonts w:hint="default" w:ascii="方正仿宋_GBK" w:hAnsi="宋体" w:eastAsia="方正仿宋_GBK" w:cs="Times New Roman"/>
          <w:color w:val="auto"/>
          <w:sz w:val="24"/>
          <w:szCs w:val="24"/>
          <w:lang w:val="en-US" w:eastAsia="zh-CN"/>
        </w:rPr>
        <w:t xml:space="preserve">测评内容涵盖: 医院各服务流程环节、诊疗质量、护理质量、患者安全、服务效果、辅技支持、后勤保障、就诊环境、医德医风等多方面内容，以及医院管理的全方位品质板块分析，至少包括院级及科室两个层级的全面分析。 </w:t>
      </w:r>
    </w:p>
    <w:p>
      <w:pPr>
        <w:pStyle w:val="36"/>
        <w:numPr>
          <w:ilvl w:val="0"/>
          <w:numId w:val="0"/>
        </w:numPr>
        <w:ind w:firstLine="480" w:firstLineChars="200"/>
        <w:rPr>
          <w:rFonts w:hint="default" w:ascii="方正仿宋_GBK" w:hAnsi="宋体" w:eastAsia="方正仿宋_GBK" w:cs="Times New Roman"/>
          <w:color w:val="auto"/>
          <w:kern w:val="2"/>
          <w:sz w:val="24"/>
          <w:szCs w:val="24"/>
          <w:lang w:val="en-US" w:eastAsia="zh-CN" w:bidi="ar-S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方正小标宋_GBK" w:hAnsi="宋体" w:eastAsia="方正小标宋_GBK"/>
          <w:b/>
          <w:color w:val="auto"/>
          <w:sz w:val="36"/>
          <w:szCs w:val="30"/>
          <w:highlight w:val="none"/>
        </w:rPr>
      </w:pPr>
    </w:p>
    <w:p>
      <w:pPr>
        <w:pStyle w:val="3"/>
        <w:spacing w:line="360" w:lineRule="auto"/>
        <w:jc w:val="center"/>
        <w:rPr>
          <w:rFonts w:hint="eastAsia" w:ascii="方正小标宋_GBK" w:hAnsi="宋体" w:eastAsia="方正小标宋_GBK"/>
          <w:b/>
          <w:color w:val="auto"/>
          <w:sz w:val="36"/>
          <w:szCs w:val="30"/>
          <w:highlight w:val="none"/>
        </w:rPr>
      </w:pPr>
      <w:r>
        <w:rPr>
          <w:rFonts w:hint="eastAsia" w:ascii="方正小标宋_GBK" w:hAnsi="宋体" w:eastAsia="方正小标宋_GBK"/>
          <w:b/>
          <w:color w:val="auto"/>
          <w:sz w:val="36"/>
          <w:szCs w:val="30"/>
          <w:highlight w:val="none"/>
        </w:rPr>
        <w:t xml:space="preserve">第三篇  </w:t>
      </w:r>
      <w:bookmarkEnd w:id="20"/>
      <w:r>
        <w:rPr>
          <w:rFonts w:hint="eastAsia" w:ascii="方正小标宋_GBK" w:hAnsi="宋体" w:eastAsia="方正小标宋_GBK"/>
          <w:b/>
          <w:color w:val="auto"/>
          <w:sz w:val="36"/>
          <w:szCs w:val="30"/>
          <w:highlight w:val="none"/>
        </w:rPr>
        <w:t>项目商务需求</w:t>
      </w:r>
      <w:bookmarkEnd w:id="21"/>
    </w:p>
    <w:p>
      <w:pPr>
        <w:snapToGrid w:val="0"/>
        <w:spacing w:line="380" w:lineRule="exact"/>
        <w:ind w:firstLine="361" w:firstLineChars="150"/>
        <w:rPr>
          <w:rFonts w:hint="default" w:ascii="方正仿宋_GBK" w:hAnsi="宋体" w:eastAsia="方正仿宋_GBK" w:cs="Times New Roman"/>
          <w:b/>
          <w:color w:val="auto"/>
          <w:kern w:val="2"/>
          <w:sz w:val="24"/>
          <w:szCs w:val="24"/>
          <w:lang w:val="en-US" w:eastAsia="zh-Hans" w:bidi="ar-SA"/>
        </w:rPr>
      </w:pPr>
      <w:bookmarkStart w:id="22" w:name="_Toc31912"/>
      <w:r>
        <w:rPr>
          <w:rFonts w:hint="default" w:ascii="方正仿宋_GBK" w:hAnsi="宋体" w:eastAsia="方正仿宋_GBK" w:cs="Times New Roman"/>
          <w:b/>
          <w:color w:val="auto"/>
          <w:kern w:val="2"/>
          <w:sz w:val="24"/>
          <w:szCs w:val="24"/>
          <w:lang w:val="en-US" w:eastAsia="zh-CN" w:bidi="ar-SA"/>
        </w:rPr>
        <w:t>一、服务时间、服务地点及验收方式</w:t>
      </w:r>
    </w:p>
    <w:p>
      <w:pPr>
        <w:snapToGrid w:val="0"/>
        <w:spacing w:line="400" w:lineRule="exact"/>
        <w:ind w:firstLine="480" w:firstLineChars="200"/>
        <w:rPr>
          <w:rFonts w:hint="eastAsia" w:ascii="方正楷体_GBK" w:hAnsi="方正楷体_GBK" w:eastAsia="方正楷体_GBK" w:cs="方正楷体_GBK"/>
          <w:b w:val="0"/>
          <w:bCs w:val="0"/>
          <w:color w:val="auto"/>
          <w:sz w:val="24"/>
          <w:szCs w:val="24"/>
          <w:lang w:val="en-US" w:eastAsia="zh-CN"/>
        </w:rPr>
      </w:pPr>
      <w:r>
        <w:rPr>
          <w:rFonts w:hint="eastAsia" w:ascii="方正楷体_GBK" w:hAnsi="方正楷体_GBK" w:eastAsia="方正楷体_GBK" w:cs="方正楷体_GBK"/>
          <w:b w:val="0"/>
          <w:bCs w:val="0"/>
          <w:color w:val="auto"/>
          <w:sz w:val="24"/>
          <w:szCs w:val="24"/>
          <w:lang w:val="en-US" w:eastAsia="zh-CN"/>
        </w:rPr>
        <w:t>（一）服务时间</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Hans"/>
        </w:rPr>
      </w:pPr>
      <w:r>
        <w:rPr>
          <w:rFonts w:hint="eastAsia" w:ascii="方正仿宋_GBK" w:hAnsi="宋体" w:eastAsia="方正仿宋_GBK" w:cs="Times New Roman"/>
          <w:color w:val="auto"/>
          <w:sz w:val="24"/>
          <w:szCs w:val="24"/>
          <w:lang w:val="en-US" w:eastAsia="zh-Hans"/>
        </w:rPr>
        <w:t>合同签订之日起至供应商</w:t>
      </w:r>
      <w:r>
        <w:rPr>
          <w:rFonts w:hint="eastAsia" w:ascii="方正仿宋_GBK" w:hAnsi="宋体" w:eastAsia="方正仿宋_GBK" w:cs="Times New Roman"/>
          <w:color w:val="auto"/>
          <w:sz w:val="24"/>
          <w:szCs w:val="24"/>
          <w:lang w:val="en-US" w:eastAsia="zh-CN"/>
        </w:rPr>
        <w:t>完成全部的服务次数和内容并完成交付和验收</w:t>
      </w:r>
      <w:r>
        <w:rPr>
          <w:rFonts w:hint="eastAsia" w:ascii="方正仿宋_GBK" w:hAnsi="宋体" w:eastAsia="方正仿宋_GBK" w:cs="Times New Roman"/>
          <w:color w:val="auto"/>
          <w:sz w:val="24"/>
          <w:szCs w:val="24"/>
          <w:lang w:val="en-US" w:eastAsia="zh-Hans"/>
        </w:rPr>
        <w:t>，合同自动终止，重新采购供应商。</w:t>
      </w:r>
    </w:p>
    <w:p>
      <w:pPr>
        <w:snapToGrid w:val="0"/>
        <w:spacing w:line="400" w:lineRule="exact"/>
        <w:ind w:firstLine="480" w:firstLineChars="200"/>
        <w:rPr>
          <w:rFonts w:hint="eastAsia" w:ascii="方正楷体_GBK" w:hAnsi="方正楷体_GBK" w:eastAsia="方正楷体_GBK" w:cs="方正楷体_GBK"/>
          <w:b w:val="0"/>
          <w:bCs w:val="0"/>
          <w:color w:val="auto"/>
          <w:sz w:val="24"/>
          <w:szCs w:val="24"/>
          <w:lang w:val="en-US" w:eastAsia="zh-CN"/>
        </w:rPr>
      </w:pPr>
      <w:r>
        <w:rPr>
          <w:rFonts w:hint="eastAsia" w:ascii="方正楷体_GBK" w:hAnsi="方正楷体_GBK" w:eastAsia="方正楷体_GBK" w:cs="方正楷体_GBK"/>
          <w:b w:val="0"/>
          <w:bCs w:val="0"/>
          <w:color w:val="auto"/>
          <w:sz w:val="24"/>
          <w:szCs w:val="24"/>
          <w:lang w:val="en-US" w:eastAsia="zh-CN"/>
        </w:rPr>
        <w:t>（二）服务地点</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重庆市第七人民医院（含本部、马王坪、社区等）。</w:t>
      </w:r>
    </w:p>
    <w:p>
      <w:pPr>
        <w:snapToGrid w:val="0"/>
        <w:spacing w:line="400" w:lineRule="exact"/>
        <w:ind w:firstLine="480" w:firstLineChars="200"/>
        <w:rPr>
          <w:rFonts w:hint="eastAsia" w:ascii="方正楷体_GBK" w:hAnsi="方正楷体_GBK" w:eastAsia="方正楷体_GBK" w:cs="方正楷体_GBK"/>
          <w:b w:val="0"/>
          <w:bCs w:val="0"/>
          <w:color w:val="auto"/>
          <w:sz w:val="24"/>
          <w:szCs w:val="24"/>
          <w:lang w:val="en-US" w:eastAsia="zh-CN"/>
        </w:rPr>
      </w:pPr>
      <w:r>
        <w:rPr>
          <w:rFonts w:hint="eastAsia" w:ascii="方正楷体_GBK" w:hAnsi="方正楷体_GBK" w:eastAsia="方正楷体_GBK" w:cs="方正楷体_GBK"/>
          <w:b w:val="0"/>
          <w:bCs w:val="0"/>
          <w:color w:val="auto"/>
          <w:sz w:val="24"/>
          <w:szCs w:val="24"/>
          <w:lang w:val="en-US" w:eastAsia="zh-CN"/>
        </w:rPr>
        <w:t>（三）验收方式</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1.国家满意度测评以国家医管中心平台显示数据达到测评量为准；含12个对象样本，其中一个未达到，扣除当次应付款项的50%；</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2.第三方患者满意度测评以收到数据分析报告，医院核实报告准确性为准，含12个对象样本，其中一个未达到，扣除当次应付款项的50%。</w:t>
      </w:r>
    </w:p>
    <w:p>
      <w:pPr>
        <w:pStyle w:val="245"/>
        <w:snapToGrid w:val="0"/>
        <w:spacing w:line="560" w:lineRule="exact"/>
        <w:ind w:firstLine="640"/>
        <w:jc w:val="left"/>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 xml:space="preserve"> 二、报价要求 </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1.重庆市第七人民医院满意度调查服务采购项目，采购总金额为46.5万元。</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2.本次报价须为人民币报价，包含：产品基价、税费（含关税）、差旅费等一切与此项目有关的所有费用。因成交供应商自身原因造成漏报、少报皆由其自行承担责任，采购人不再补偿任何费用。</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成交供应商自行全面负责其服务人员的劳动用工管理、薪酬福利、加班工资、劳动纠纷及社保办理，由此产生的劳动纠纷和责任与采购方无关。如因其服务人员的行为给采购方造成财产、名誉等损失的，成交供应商应承担所有责任。</w:t>
      </w:r>
    </w:p>
    <w:p>
      <w:pPr>
        <w:pStyle w:val="245"/>
        <w:snapToGrid w:val="0"/>
        <w:spacing w:line="560" w:lineRule="exact"/>
        <w:ind w:firstLine="640"/>
        <w:jc w:val="left"/>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三、质保及售后服务要求</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bookmarkStart w:id="23" w:name="_Toc8979_WPSOffice_Level1"/>
      <w:bookmarkStart w:id="24" w:name="_Toc27374_WPSOffice_Level1"/>
      <w:r>
        <w:rPr>
          <w:rFonts w:hint="eastAsia" w:ascii="方正仿宋_GBK" w:hAnsi="宋体" w:eastAsia="方正仿宋_GBK" w:cs="Times New Roman"/>
          <w:color w:val="auto"/>
          <w:sz w:val="24"/>
          <w:szCs w:val="24"/>
          <w:lang w:val="en-US" w:eastAsia="zh-CN"/>
        </w:rPr>
        <w:t>1.</w:t>
      </w:r>
      <w:bookmarkEnd w:id="23"/>
      <w:bookmarkEnd w:id="24"/>
      <w:r>
        <w:rPr>
          <w:rFonts w:hint="eastAsia" w:ascii="方正仿宋_GBK" w:hAnsi="宋体" w:eastAsia="方正仿宋_GBK" w:cs="Times New Roman"/>
          <w:color w:val="auto"/>
          <w:sz w:val="24"/>
          <w:szCs w:val="24"/>
          <w:lang w:val="en-US" w:eastAsia="zh-CN"/>
        </w:rPr>
        <w:t>本项目质量目标：合格。提供的测评服务严格按照测评服务流程和数据审核流程执行，保证数据的真实性和客观性，随时接受医院的监督。如发现提供的服务有数据作假行为，不予支付该项目款项。</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bookmarkStart w:id="25" w:name="_Toc8991_WPSOffice_Level1"/>
      <w:bookmarkStart w:id="26" w:name="_Toc14940_WPSOffice_Level1"/>
      <w:r>
        <w:rPr>
          <w:rFonts w:hint="eastAsia" w:ascii="方正仿宋_GBK" w:hAnsi="宋体" w:eastAsia="方正仿宋_GBK" w:cs="Times New Roman"/>
          <w:color w:val="auto"/>
          <w:sz w:val="24"/>
          <w:szCs w:val="24"/>
          <w:lang w:val="en-US" w:eastAsia="zh-CN"/>
        </w:rPr>
        <w:t>2.实施周期</w:t>
      </w:r>
      <w:bookmarkEnd w:id="25"/>
      <w:bookmarkEnd w:id="26"/>
      <w:r>
        <w:rPr>
          <w:rFonts w:hint="eastAsia" w:ascii="方正仿宋_GBK" w:hAnsi="宋体" w:eastAsia="方正仿宋_GBK" w:cs="Times New Roman"/>
          <w:color w:val="auto"/>
          <w:sz w:val="24"/>
          <w:szCs w:val="24"/>
          <w:lang w:val="en-US" w:eastAsia="zh-CN"/>
        </w:rPr>
        <w:t>：每次测评计划15日历日完成，期间有任何特殊情况都将与医院协商解决，一切以医院的意见为主。</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bookmarkStart w:id="27" w:name="_Toc6105_WPSOffice_Level1"/>
      <w:bookmarkStart w:id="28" w:name="_Toc9_WPSOffice_Level1"/>
      <w:r>
        <w:rPr>
          <w:rFonts w:hint="eastAsia" w:ascii="方正仿宋_GBK" w:hAnsi="宋体" w:eastAsia="方正仿宋_GBK" w:cs="Times New Roman"/>
          <w:color w:val="auto"/>
          <w:sz w:val="24"/>
          <w:szCs w:val="24"/>
          <w:lang w:val="en-US" w:eastAsia="zh-CN"/>
        </w:rPr>
        <w:t>3.应急响应</w:t>
      </w:r>
      <w:bookmarkEnd w:id="27"/>
      <w:bookmarkEnd w:id="28"/>
      <w:r>
        <w:rPr>
          <w:rFonts w:hint="eastAsia" w:ascii="方正仿宋_GBK" w:hAnsi="宋体" w:eastAsia="方正仿宋_GBK" w:cs="Times New Roman"/>
          <w:color w:val="auto"/>
          <w:sz w:val="24"/>
          <w:szCs w:val="24"/>
          <w:lang w:val="en-US" w:eastAsia="zh-CN"/>
        </w:rPr>
        <w:t>：提供免费系统维护和远程技术服务支持，48小时到场，及时对故障进行定位和处理，对于出现不能远程解决的问题，提供工程师上门服务，现场解决问题。</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4.质保要求：国家满意度调查需质保到当年国家满意度结果公布，并且公布的结果符合国家对三级公立医院的绩效考核相关要求以及市卫健委和区卫健委对医院满意度的考核要求。三方满意度分析报告质保三年。</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5.质量要求：如规定时间内满意度调查未完成，数据超时上传及其他由供应商造成的满意度调查未完成或数据不符合要求的，有权对供应商进行扣款，具体扣款事项在合同中进行约定。</w:t>
      </w:r>
    </w:p>
    <w:p>
      <w:pPr>
        <w:pStyle w:val="245"/>
        <w:snapToGrid w:val="0"/>
        <w:spacing w:line="560" w:lineRule="exact"/>
        <w:ind w:firstLine="640"/>
        <w:jc w:val="left"/>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四、付款方式</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1.合同款项共分7次付清，服务期内每半年支付一次，最后一笔款项单独支付。</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2.每半年根据供应商完成的服务内容据实结算，经医院验收合格后，采购方在接到有效发票后30个工作日内，支付（合同总款项*80%）/6。</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3.所有项目验收结束，符合前述的采购方要求，采购方在接到有效发票后30个工作日内，支付合同尾款（合同总款项*20%）。</w:t>
      </w:r>
    </w:p>
    <w:p>
      <w:pPr>
        <w:wordWrap w:val="0"/>
        <w:spacing w:line="520" w:lineRule="exact"/>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五、知识产权</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ordWrap w:val="0"/>
        <w:spacing w:line="520" w:lineRule="exact"/>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六、违约责任</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1.如因产品存在权利瑕疵导致任何第三方经司法机关或行政机关决定有权对上述产品主张权利或国家机关依法对产品进行没收查处的，采购方有权解除本合同，成交供应商应向采购方支付产品价款总金额百分之五十的违约金。</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2.如成交供应商违反本合同其他约定，且经采购方两次发送要求纠正的书面通知后仍未在采购方指定期限内纠正完毕或采取有效的补救措施的，成交供应商应向采购方支付合同总金额百分之三十的违约金。</w:t>
      </w:r>
    </w:p>
    <w:p>
      <w:pPr>
        <w:wordWrap w:val="0"/>
        <w:spacing w:line="520" w:lineRule="exact"/>
        <w:ind w:firstLine="482" w:firstLineChars="200"/>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七、其他</w:t>
      </w:r>
    </w:p>
    <w:p>
      <w:pPr>
        <w:pStyle w:val="36"/>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1.熟悉医疗卫生系统考核指标体系。</w:t>
      </w:r>
    </w:p>
    <w:p>
      <w:pPr>
        <w:pStyle w:val="36"/>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kern w:val="2"/>
          <w:sz w:val="24"/>
          <w:szCs w:val="24"/>
          <w:lang w:val="en-US" w:eastAsia="zh-CN" w:bidi="ar-SA"/>
        </w:rPr>
        <w:t>2.其他未尽事宜由供需双方在采购合同中详细约定。</w:t>
      </w:r>
    </w:p>
    <w:p>
      <w:pPr>
        <w:pStyle w:val="3"/>
        <w:jc w:val="center"/>
        <w:rPr>
          <w:rFonts w:hint="eastAsia" w:ascii="方正小标宋_GBK" w:hAnsi="方正小标宋_GBK" w:eastAsia="方正小标宋_GBK" w:cs="方正小标宋_GBK"/>
          <w:b/>
          <w:bCs/>
          <w:color w:val="auto"/>
          <w:sz w:val="36"/>
          <w:szCs w:val="36"/>
        </w:rPr>
      </w:pPr>
    </w:p>
    <w:p>
      <w:pPr>
        <w:pStyle w:val="3"/>
        <w:jc w:val="center"/>
        <w:rPr>
          <w:rFonts w:hint="eastAsia" w:ascii="方正小标宋_GBK" w:hAnsi="方正小标宋_GBK" w:eastAsia="方正小标宋_GBK" w:cs="方正小标宋_GBK"/>
          <w:b/>
          <w:bCs/>
          <w:color w:val="auto"/>
          <w:sz w:val="36"/>
          <w:szCs w:val="36"/>
        </w:rPr>
      </w:pPr>
    </w:p>
    <w:p>
      <w:pPr>
        <w:pStyle w:val="3"/>
        <w:jc w:val="both"/>
        <w:rPr>
          <w:rFonts w:hint="eastAsia" w:ascii="方正小标宋_GBK" w:hAnsi="方正小标宋_GBK" w:eastAsia="方正小标宋_GBK" w:cs="方正小标宋_GBK"/>
          <w:b/>
          <w:bCs/>
          <w:color w:val="auto"/>
          <w:sz w:val="36"/>
          <w:szCs w:val="36"/>
        </w:rPr>
      </w:pPr>
    </w:p>
    <w:p>
      <w:pPr>
        <w:rPr>
          <w:rFonts w:hint="eastAsia" w:ascii="方正小标宋_GBK" w:hAnsi="方正小标宋_GBK" w:eastAsia="方正小标宋_GBK" w:cs="方正小标宋_GBK"/>
          <w:b/>
          <w:bCs/>
          <w:color w:val="auto"/>
          <w:sz w:val="36"/>
          <w:szCs w:val="36"/>
        </w:rPr>
      </w:pPr>
    </w:p>
    <w:p>
      <w:pPr>
        <w:pStyle w:val="57"/>
        <w:rPr>
          <w:rFonts w:hint="eastAsia"/>
          <w:color w:val="auto"/>
        </w:rPr>
      </w:pPr>
    </w:p>
    <w:p>
      <w:pPr>
        <w:pStyle w:val="3"/>
        <w:jc w:val="center"/>
        <w:rPr>
          <w:rFonts w:hint="eastAsia" w:ascii="方正小标宋_GBK" w:hAnsi="方正小标宋_GBK" w:eastAsia="方正小标宋_GBK" w:cs="方正小标宋_GBK"/>
          <w:b/>
          <w:bCs/>
          <w:color w:val="auto"/>
          <w:sz w:val="36"/>
          <w:szCs w:val="36"/>
        </w:rPr>
      </w:pPr>
    </w:p>
    <w:p>
      <w:pPr>
        <w:pStyle w:val="3"/>
        <w:jc w:val="both"/>
        <w:rPr>
          <w:rFonts w:hint="eastAsia" w:ascii="方正小标宋_GBK" w:hAnsi="方正小标宋_GBK" w:eastAsia="方正小标宋_GBK" w:cs="方正小标宋_GBK"/>
          <w:b/>
          <w:bCs/>
          <w:color w:val="auto"/>
          <w:sz w:val="36"/>
          <w:szCs w:val="36"/>
        </w:rPr>
      </w:pPr>
    </w:p>
    <w:p>
      <w:pPr>
        <w:rPr>
          <w:rFonts w:hint="eastAsia"/>
          <w:color w:val="auto"/>
        </w:rPr>
      </w:pPr>
    </w:p>
    <w:p>
      <w:pPr>
        <w:pStyle w:val="3"/>
        <w:ind w:firstLine="2168" w:firstLineChars="600"/>
        <w:jc w:val="both"/>
        <w:rPr>
          <w:rFonts w:hint="eastAsia" w:ascii="方正小标宋_GBK" w:hAnsi="方正小标宋_GBK" w:eastAsia="方正小标宋_GBK" w:cs="方正小标宋_GBK"/>
          <w:b/>
          <w:bCs/>
          <w:color w:val="auto"/>
          <w:sz w:val="36"/>
          <w:szCs w:val="36"/>
        </w:rPr>
      </w:pPr>
    </w:p>
    <w:p>
      <w:pPr>
        <w:pStyle w:val="3"/>
        <w:ind w:firstLine="2168" w:firstLineChars="600"/>
        <w:jc w:val="both"/>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b/>
          <w:bCs/>
          <w:color w:val="auto"/>
          <w:sz w:val="36"/>
          <w:szCs w:val="36"/>
        </w:rPr>
        <w:t xml:space="preserve">第四篇  </w:t>
      </w:r>
      <w:bookmarkEnd w:id="22"/>
      <w:r>
        <w:rPr>
          <w:rFonts w:hint="eastAsia" w:ascii="方正小标宋_GBK" w:hAnsi="方正小标宋_GBK" w:eastAsia="方正小标宋_GBK" w:cs="方正小标宋_GBK"/>
          <w:b/>
          <w:bCs/>
          <w:color w:val="auto"/>
          <w:sz w:val="36"/>
          <w:szCs w:val="36"/>
        </w:rPr>
        <w:t>资格审查及评标办法</w:t>
      </w:r>
    </w:p>
    <w:p>
      <w:pPr>
        <w:pStyle w:val="4"/>
        <w:spacing w:before="0" w:after="0" w:line="400" w:lineRule="exact"/>
        <w:rPr>
          <w:rFonts w:hint="eastAsia" w:ascii="方正仿宋_GBK" w:eastAsia="方正仿宋_GBK"/>
          <w:color w:val="auto"/>
          <w:sz w:val="24"/>
          <w:szCs w:val="24"/>
        </w:rPr>
      </w:pPr>
      <w:bookmarkStart w:id="29" w:name="_Toc29592"/>
      <w:bookmarkStart w:id="30" w:name="_Toc16683573"/>
      <w:r>
        <w:rPr>
          <w:rFonts w:hint="eastAsia" w:ascii="方正仿宋_GBK" w:eastAsia="方正仿宋_GBK"/>
          <w:color w:val="auto"/>
          <w:sz w:val="24"/>
          <w:szCs w:val="24"/>
        </w:rPr>
        <w:t>一、磋商程序及方法</w:t>
      </w:r>
      <w:bookmarkEnd w:id="29"/>
      <w:bookmarkEnd w:id="30"/>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（二）磋商小组对各供应商的资格条件、响应文件的有效性、完整性和响应程度进行审查。各供应商只有在完全符合要求的前提下，才能参与正式磋商。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1.资格性检查。依据法律法规和竞争性磋商文件的规定，对响应文件中的资格证明等进行审查，以确定供应商是否具备磋商资格。资格性检查资料表如下：</w:t>
      </w:r>
    </w:p>
    <w:tbl>
      <w:tblPr>
        <w:tblStyle w:val="5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3"/>
        <w:gridCol w:w="3645"/>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0" w:type="dxa"/>
            <w:noWrap w:val="0"/>
            <w:vAlign w:val="center"/>
          </w:tcPr>
          <w:p>
            <w:pPr>
              <w:snapToGrid w:val="0"/>
              <w:spacing w:line="38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4848" w:type="dxa"/>
            <w:gridSpan w:val="2"/>
            <w:noWrap w:val="0"/>
            <w:vAlign w:val="center"/>
          </w:tcPr>
          <w:p>
            <w:pPr>
              <w:snapToGrid w:val="0"/>
              <w:spacing w:line="380" w:lineRule="exact"/>
              <w:ind w:firstLine="360" w:firstLineChars="15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检查因素</w:t>
            </w:r>
          </w:p>
        </w:tc>
        <w:tc>
          <w:tcPr>
            <w:tcW w:w="4840"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730" w:type="dxa"/>
            <w:vMerge w:val="restart"/>
            <w:noWrap w:val="0"/>
            <w:vAlign w:val="center"/>
          </w:tcPr>
          <w:p>
            <w:pPr>
              <w:snapToGrid w:val="0"/>
              <w:spacing w:line="380" w:lineRule="exact"/>
              <w:ind w:firstLine="240" w:firstLineChars="1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1203" w:type="dxa"/>
            <w:vMerge w:val="restart"/>
            <w:noWrap w:val="0"/>
            <w:vAlign w:val="center"/>
          </w:tcPr>
          <w:p>
            <w:pPr>
              <w:snapToGrid w:val="0"/>
              <w:spacing w:line="380" w:lineRule="exact"/>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供应商</w:t>
            </w:r>
            <w:r>
              <w:rPr>
                <w:rFonts w:hint="eastAsia" w:ascii="方正仿宋_GBK" w:hAnsi="方正仿宋_GBK" w:eastAsia="方正仿宋_GBK" w:cs="方正仿宋_GBK"/>
                <w:color w:val="auto"/>
                <w:sz w:val="24"/>
                <w:szCs w:val="24"/>
                <w:lang w:val="zh-CN"/>
              </w:rPr>
              <w:t>应符合的基本资格条件</w:t>
            </w:r>
          </w:p>
        </w:tc>
        <w:tc>
          <w:tcPr>
            <w:tcW w:w="3645" w:type="dxa"/>
            <w:noWrap w:val="0"/>
            <w:vAlign w:val="center"/>
          </w:tcPr>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（1）具有独立承担民事责任的能力</w:t>
            </w:r>
          </w:p>
        </w:tc>
        <w:tc>
          <w:tcPr>
            <w:tcW w:w="4840" w:type="dxa"/>
            <w:noWrap w:val="0"/>
            <w:vAlign w:val="center"/>
          </w:tcPr>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 xml:space="preserve">供应商法人营业执照（副本）或事业单位法人证书（副本）或个体工商户营业执照、组织机构代码证复印件； </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供应商法定代表人身份证明和法定代表人授权代表委托书。</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分公司需有总公司书面授权方可参加磋商。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p>
        </w:tc>
        <w:tc>
          <w:tcPr>
            <w:tcW w:w="1203"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lang w:val="zh-CN"/>
              </w:rPr>
            </w:pPr>
          </w:p>
        </w:tc>
        <w:tc>
          <w:tcPr>
            <w:tcW w:w="3645" w:type="dxa"/>
            <w:noWrap w:val="0"/>
            <w:vAlign w:val="center"/>
          </w:tcPr>
          <w:p>
            <w:pPr>
              <w:spacing w:line="400" w:lineRule="exact"/>
              <w:ind w:firstLine="480" w:firstLineChars="200"/>
              <w:jc w:val="lef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zh-CN"/>
              </w:rPr>
              <w:t>（2）</w:t>
            </w:r>
            <w:r>
              <w:rPr>
                <w:rFonts w:hint="eastAsia" w:ascii="方正仿宋_GBK" w:hAnsi="方正仿宋_GBK" w:eastAsia="方正仿宋_GBK" w:cs="方正仿宋_GBK"/>
                <w:color w:val="auto"/>
                <w:kern w:val="0"/>
                <w:sz w:val="24"/>
                <w:szCs w:val="24"/>
              </w:rPr>
              <w:t>具有良好的商业信誉和健全的财务会计制度</w:t>
            </w:r>
          </w:p>
        </w:tc>
        <w:tc>
          <w:tcPr>
            <w:tcW w:w="4840" w:type="dxa"/>
            <w:vMerge w:val="restart"/>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p>
        </w:tc>
        <w:tc>
          <w:tcPr>
            <w:tcW w:w="1203"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lang w:val="zh-CN"/>
              </w:rPr>
            </w:pPr>
          </w:p>
        </w:tc>
        <w:tc>
          <w:tcPr>
            <w:tcW w:w="3645" w:type="dxa"/>
            <w:noWrap w:val="0"/>
            <w:vAlign w:val="center"/>
          </w:tcPr>
          <w:p>
            <w:pPr>
              <w:spacing w:line="400" w:lineRule="exact"/>
              <w:ind w:firstLine="480" w:firstLineChars="200"/>
              <w:jc w:val="left"/>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（3）具有履行合同所必需的设备和专业技术能力</w:t>
            </w:r>
          </w:p>
        </w:tc>
        <w:tc>
          <w:tcPr>
            <w:tcW w:w="484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p>
        </w:tc>
        <w:tc>
          <w:tcPr>
            <w:tcW w:w="1203"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lang w:val="zh-CN"/>
              </w:rPr>
            </w:pPr>
          </w:p>
        </w:tc>
        <w:tc>
          <w:tcPr>
            <w:tcW w:w="3645" w:type="dxa"/>
            <w:noWrap w:val="0"/>
            <w:vAlign w:val="center"/>
          </w:tcPr>
          <w:p>
            <w:pPr>
              <w:spacing w:line="400" w:lineRule="exact"/>
              <w:ind w:firstLine="480" w:firstLineChars="200"/>
              <w:jc w:val="left"/>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lang w:val="zh-CN"/>
              </w:rPr>
              <w:t>（4）有依法缴纳税收和社会保障金的良好记录</w:t>
            </w:r>
          </w:p>
        </w:tc>
        <w:tc>
          <w:tcPr>
            <w:tcW w:w="484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3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p>
        </w:tc>
        <w:tc>
          <w:tcPr>
            <w:tcW w:w="1203"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lang w:val="zh-CN"/>
              </w:rPr>
            </w:pPr>
          </w:p>
        </w:tc>
        <w:tc>
          <w:tcPr>
            <w:tcW w:w="3645"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lang w:val="zh-CN"/>
              </w:rPr>
            </w:pPr>
            <w:r>
              <w:rPr>
                <w:rFonts w:hint="eastAsia" w:ascii="方正仿宋_GBK" w:hAnsi="方正仿宋_GBK" w:eastAsia="方正仿宋_GBK" w:cs="方正仿宋_GBK"/>
                <w:color w:val="auto"/>
                <w:kern w:val="0"/>
                <w:sz w:val="24"/>
                <w:szCs w:val="24"/>
              </w:rPr>
              <w:t>（5）参加政府采购活动前三年内，在经营活动中没有重大违法记录</w:t>
            </w:r>
          </w:p>
        </w:tc>
        <w:tc>
          <w:tcPr>
            <w:tcW w:w="4840"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0"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p>
        </w:tc>
        <w:tc>
          <w:tcPr>
            <w:tcW w:w="1203" w:type="dxa"/>
            <w:vMerge w:val="continue"/>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lang w:val="zh-CN"/>
              </w:rPr>
            </w:pPr>
          </w:p>
        </w:tc>
        <w:tc>
          <w:tcPr>
            <w:tcW w:w="3645"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（6）法律、行政法规规定的其他条件</w:t>
            </w:r>
          </w:p>
        </w:tc>
        <w:tc>
          <w:tcPr>
            <w:tcW w:w="4840"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0"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4848" w:type="dxa"/>
            <w:gridSpan w:val="2"/>
            <w:noWrap w:val="0"/>
            <w:vAlign w:val="center"/>
          </w:tcPr>
          <w:p>
            <w:pPr>
              <w:snapToGrid w:val="0"/>
              <w:spacing w:line="38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特定资格条件</w:t>
            </w:r>
          </w:p>
        </w:tc>
        <w:tc>
          <w:tcPr>
            <w:tcW w:w="4840" w:type="dxa"/>
            <w:noWrap w:val="0"/>
            <w:vAlign w:val="center"/>
          </w:tcPr>
          <w:p>
            <w:pPr>
              <w:snapToGrid w:val="0"/>
              <w:spacing w:line="380" w:lineRule="exact"/>
              <w:ind w:firstLine="360" w:firstLineChars="15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按“供应商特定资格条件”的要求提交</w:t>
            </w:r>
          </w:p>
        </w:tc>
      </w:tr>
    </w:tbl>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注：</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②供应商按“多证合一”登记制度办理营业执照的，组织机构代码证和税务登记证（副本）以供应商所提供的营业执照（副本）复印件为准。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3544" w:type="dxa"/>
            <w:gridSpan w:val="2"/>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评审因素</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1560" w:type="dxa"/>
            <w:vMerge w:val="restart"/>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有效性审查</w:t>
            </w: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响应文件签署</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560"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法定代表人身份证明及授权委托书</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560"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方案</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只能有一个</w:t>
            </w: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560"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报价唯一</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zh-CN"/>
              </w:rPr>
              <w:t>只能在采购预算范围内报价，</w:t>
            </w:r>
            <w:r>
              <w:rPr>
                <w:rFonts w:hint="eastAsia" w:ascii="方正仿宋_GBK" w:hAnsi="方正仿宋_GBK" w:eastAsia="方正仿宋_GBK" w:cs="方正仿宋_GBK"/>
                <w:color w:val="auto"/>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1560" w:type="dxa"/>
            <w:vMerge w:val="restart"/>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完整性审查</w:t>
            </w: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文件份数</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文件正、副本</w:t>
            </w:r>
            <w:r>
              <w:rPr>
                <w:rFonts w:hint="eastAsia" w:ascii="方正仿宋_GBK" w:hAnsi="方正仿宋_GBK" w:eastAsia="方正仿宋_GBK" w:cs="方正仿宋_GBK"/>
                <w:color w:val="auto"/>
                <w:sz w:val="24"/>
                <w:szCs w:val="24"/>
              </w:rPr>
              <w:t>各一份，均</w:t>
            </w:r>
            <w:r>
              <w:rPr>
                <w:rFonts w:hint="eastAsia" w:ascii="方正仿宋_GBK" w:hAnsi="方正仿宋_GBK" w:eastAsia="方正仿宋_GBK" w:cs="方正仿宋_GBK"/>
                <w:color w:val="auto"/>
                <w:sz w:val="24"/>
                <w:szCs w:val="24"/>
                <w:lang w:val="zh-CN"/>
              </w:rPr>
              <w:t>符合</w:t>
            </w:r>
            <w:r>
              <w:rPr>
                <w:rFonts w:hint="eastAsia" w:ascii="方正仿宋_GBK" w:hAnsi="方正仿宋_GBK" w:eastAsia="方正仿宋_GBK" w:cs="方正仿宋_GBK"/>
                <w:color w:val="auto"/>
                <w:sz w:val="24"/>
                <w:szCs w:val="24"/>
              </w:rPr>
              <w:t>竞争性磋商</w:t>
            </w:r>
            <w:r>
              <w:rPr>
                <w:rFonts w:hint="eastAsia" w:ascii="方正仿宋_GBK" w:hAnsi="方正仿宋_GBK" w:eastAsia="方正仿宋_GBK" w:cs="方正仿宋_GBK"/>
                <w:color w:val="auto"/>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560"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文件内容</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w:t>
            </w:r>
            <w:r>
              <w:rPr>
                <w:rFonts w:hint="eastAsia" w:ascii="方正仿宋_GBK" w:hAnsi="方正仿宋_GBK" w:eastAsia="方正仿宋_GBK" w:cs="方正仿宋_GBK"/>
                <w:color w:val="auto"/>
                <w:sz w:val="24"/>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1560" w:type="dxa"/>
            <w:vMerge w:val="restart"/>
            <w:noWrap w:val="0"/>
            <w:vAlign w:val="center"/>
          </w:tcPr>
          <w:p>
            <w:pPr>
              <w:spacing w:line="400" w:lineRule="exact"/>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rPr>
              <w:t>竞争性磋商文件的响应程度审查</w:t>
            </w: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响应文件内容</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对竞争性磋商文件</w:t>
            </w:r>
            <w:r>
              <w:rPr>
                <w:rFonts w:hint="eastAsia" w:ascii="方正仿宋_GBK" w:hAnsi="方正仿宋_GBK" w:eastAsia="方正仿宋_GBK" w:cs="方正仿宋_GBK"/>
                <w:color w:val="auto"/>
                <w:kern w:val="0"/>
                <w:sz w:val="24"/>
                <w:szCs w:val="24"/>
              </w:rPr>
              <w:t>第二篇、第三篇</w:t>
            </w:r>
            <w:r>
              <w:rPr>
                <w:rFonts w:hint="eastAsia" w:ascii="方正仿宋_GBK" w:hAnsi="方正仿宋_GBK" w:eastAsia="方正仿宋_GBK" w:cs="方正仿宋_GBK"/>
                <w:color w:val="auto"/>
                <w:sz w:val="24"/>
                <w:szCs w:val="24"/>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400" w:lineRule="exact"/>
              <w:rPr>
                <w:rFonts w:hint="eastAsia" w:ascii="方正仿宋_GBK" w:hAnsi="方正仿宋_GBK" w:eastAsia="方正仿宋_GBK" w:cs="方正仿宋_GBK"/>
                <w:color w:val="auto"/>
                <w:sz w:val="24"/>
                <w:szCs w:val="24"/>
              </w:rPr>
            </w:pPr>
          </w:p>
        </w:tc>
        <w:tc>
          <w:tcPr>
            <w:tcW w:w="1560" w:type="dxa"/>
            <w:vMerge w:val="continue"/>
            <w:noWrap w:val="0"/>
            <w:vAlign w:val="center"/>
          </w:tcPr>
          <w:p>
            <w:pPr>
              <w:spacing w:line="400" w:lineRule="exact"/>
              <w:rPr>
                <w:rFonts w:hint="eastAsia" w:ascii="方正仿宋_GBK" w:hAnsi="方正仿宋_GBK" w:eastAsia="方正仿宋_GBK" w:cs="方正仿宋_GBK"/>
                <w:color w:val="auto"/>
                <w:sz w:val="24"/>
                <w:szCs w:val="24"/>
                <w:lang w:val="zh-CN"/>
              </w:rPr>
            </w:pPr>
          </w:p>
        </w:tc>
        <w:tc>
          <w:tcPr>
            <w:tcW w:w="1984"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磋商有效期</w:t>
            </w:r>
          </w:p>
        </w:tc>
        <w:tc>
          <w:tcPr>
            <w:tcW w:w="5409" w:type="dxa"/>
            <w:noWrap w:val="0"/>
            <w:vAlign w:val="center"/>
          </w:tcPr>
          <w:p>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满足磋商文件</w:t>
            </w:r>
            <w:r>
              <w:rPr>
                <w:rFonts w:hint="eastAsia" w:ascii="方正仿宋_GBK" w:hAnsi="方正仿宋_GBK" w:eastAsia="方正仿宋_GBK" w:cs="方正仿宋_GBK"/>
                <w:color w:val="auto"/>
                <w:sz w:val="24"/>
                <w:szCs w:val="24"/>
                <w:lang w:val="zh-CN"/>
              </w:rPr>
              <w:t>规定。</w:t>
            </w:r>
          </w:p>
        </w:tc>
      </w:tr>
    </w:tbl>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（五）在磋商过程中磋商的任何一方不得向他人透露与磋商有关的服务资料、价格或其他信息。</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（七）供应商在磋商时作出的所有书面承诺须由法定代表人或其授权代表签字。</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napToGrid w:val="0"/>
        <w:spacing w:line="380" w:lineRule="exact"/>
        <w:ind w:firstLine="360" w:firstLineChars="150"/>
        <w:rPr>
          <w:rFonts w:hint="eastAsia" w:ascii="方正仿宋_GBK" w:hAnsi="宋体" w:eastAsia="方正仿宋_GBK"/>
          <w:b/>
          <w:bCs/>
          <w:color w:val="auto"/>
          <w:sz w:val="24"/>
          <w:szCs w:val="24"/>
        </w:rPr>
      </w:pPr>
      <w:r>
        <w:rPr>
          <w:rFonts w:hint="eastAsia" w:ascii="方正仿宋_GBK" w:hAnsi="宋体" w:eastAsia="方正仿宋_GBK"/>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r>
        <w:rPr>
          <w:rFonts w:hint="eastAsia" w:ascii="方正仿宋_GBK" w:hAnsi="宋体" w:eastAsia="方正仿宋_GBK"/>
          <w:b/>
          <w:bCs/>
          <w:color w:val="auto"/>
          <w:sz w:val="24"/>
          <w:szCs w:val="24"/>
        </w:rPr>
        <w:t>。</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随机确定成交供应商。</w:t>
      </w:r>
    </w:p>
    <w:p>
      <w:pPr>
        <w:snapToGrid w:val="0"/>
        <w:spacing w:line="380" w:lineRule="exact"/>
        <w:ind w:firstLine="360" w:firstLineChars="15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val="en-US" w:eastAsia="zh-CN"/>
        </w:rPr>
        <w:t>若成交人无故放弃成交资格，由此而产生的经济损失、经济责任和一切后果由成交人承担</w:t>
      </w:r>
      <w:r>
        <w:rPr>
          <w:rFonts w:hint="eastAsia" w:ascii="方正仿宋_GBK" w:hAnsi="宋体" w:eastAsia="方正仿宋_GBK" w:cs="Times New Roman"/>
          <w:color w:val="auto"/>
          <w:sz w:val="24"/>
          <w:szCs w:val="24"/>
          <w:highlight w:val="none"/>
          <w:lang w:val="en-US" w:eastAsia="zh-CN"/>
        </w:rPr>
        <w:t>。顺延取其符合法定要求排名其</w:t>
      </w:r>
      <w:r>
        <w:rPr>
          <w:rFonts w:hint="eastAsia" w:ascii="方正仿宋_GBK" w:hAnsi="宋体" w:eastAsia="方正仿宋_GBK" w:cs="Times New Roman"/>
          <w:color w:val="auto"/>
          <w:sz w:val="24"/>
          <w:szCs w:val="24"/>
          <w:lang w:val="en-US" w:eastAsia="zh-CN"/>
        </w:rPr>
        <w:t>后第一位的响应人可以确定其为成交人；或重新组织采购。</w:t>
      </w:r>
    </w:p>
    <w:p>
      <w:pPr>
        <w:snapToGrid w:val="0"/>
        <w:spacing w:line="38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val="en-US" w:eastAsia="zh-CN"/>
        </w:rPr>
        <w:t>如成交供应商查实虚假应标，则取消其成交资格，同时列入医院供应商不良记录名录，三年内不得参与医院的所有采购项目，顺延取其符合法定要求排名后第一位的响应人为成交人，或重新组织采购。</w:t>
      </w:r>
    </w:p>
    <w:p>
      <w:pPr>
        <w:pStyle w:val="36"/>
        <w:rPr>
          <w:rFonts w:hint="eastAsia"/>
          <w:color w:val="auto"/>
        </w:rPr>
      </w:pPr>
    </w:p>
    <w:p>
      <w:pPr>
        <w:pStyle w:val="4"/>
        <w:spacing w:before="0" w:after="0" w:line="400" w:lineRule="exact"/>
        <w:rPr>
          <w:rFonts w:hint="eastAsia" w:ascii="方正仿宋_GBK" w:hAnsi="方正仿宋_GBK" w:eastAsia="方正仿宋_GBK" w:cs="方正仿宋_GBK"/>
          <w:color w:val="auto"/>
          <w:sz w:val="24"/>
          <w:szCs w:val="24"/>
          <w:highlight w:val="red"/>
        </w:rPr>
      </w:pPr>
      <w:bookmarkStart w:id="31" w:name="_Toc16683574"/>
      <w:bookmarkStart w:id="32" w:name="_Toc7494"/>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p>
      <w:pPr>
        <w:pStyle w:val="4"/>
        <w:spacing w:before="0" w:after="0" w:line="400" w:lineRule="exact"/>
        <w:rPr>
          <w:rFonts w:hint="eastAsia" w:ascii="方正仿宋_GBK" w:hAnsi="方正仿宋_GBK" w:eastAsia="方正仿宋_GBK" w:cs="方正仿宋_GBK"/>
          <w:color w:val="auto"/>
          <w:sz w:val="24"/>
          <w:szCs w:val="24"/>
          <w:highlight w:val="red"/>
        </w:rPr>
      </w:pPr>
    </w:p>
    <w:bookmarkEnd w:id="31"/>
    <w:bookmarkEnd w:id="32"/>
    <w:p>
      <w:pPr>
        <w:pStyle w:val="4"/>
        <w:spacing w:before="0" w:after="0" w:line="400" w:lineRule="exact"/>
        <w:rPr>
          <w:rFonts w:hint="eastAsia" w:ascii="方正仿宋_GBK" w:eastAsia="方正仿宋_GBK"/>
          <w:color w:val="auto"/>
          <w:sz w:val="24"/>
          <w:szCs w:val="24"/>
          <w:highlight w:val="red"/>
        </w:rPr>
      </w:pPr>
      <w:bookmarkStart w:id="33" w:name="_Toc342913394"/>
      <w:bookmarkStart w:id="34" w:name="_Toc102227320"/>
    </w:p>
    <w:p>
      <w:pPr>
        <w:snapToGrid w:val="0"/>
        <w:spacing w:line="380" w:lineRule="exact"/>
        <w:ind w:firstLine="360" w:firstLineChars="150"/>
        <w:rPr>
          <w:rFonts w:hint="eastAsia" w:ascii="方正仿宋_GBK" w:hAnsi="宋体" w:eastAsia="方正仿宋_GBK"/>
          <w:color w:val="auto"/>
          <w:sz w:val="24"/>
          <w:szCs w:val="24"/>
          <w:highlight w:val="red"/>
        </w:rPr>
      </w:pPr>
    </w:p>
    <w:p>
      <w:pPr>
        <w:snapToGrid w:val="0"/>
        <w:spacing w:line="380" w:lineRule="exact"/>
        <w:ind w:firstLine="360" w:firstLineChars="150"/>
        <w:rPr>
          <w:rFonts w:hint="eastAsia" w:ascii="方正仿宋_GBK" w:hAnsi="宋体" w:eastAsia="方正仿宋_GBK"/>
          <w:color w:val="auto"/>
          <w:sz w:val="24"/>
          <w:szCs w:val="24"/>
          <w:highlight w:val="red"/>
        </w:rPr>
      </w:pPr>
    </w:p>
    <w:p>
      <w:pPr>
        <w:pStyle w:val="4"/>
        <w:spacing w:before="0" w:after="0" w:line="400" w:lineRule="exact"/>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eastAsia="方正仿宋_GBK"/>
          <w:color w:val="auto"/>
          <w:sz w:val="24"/>
          <w:szCs w:val="24"/>
          <w:highlight w:val="none"/>
        </w:rPr>
        <w:t xml:space="preserve">评审标准  </w:t>
      </w:r>
    </w:p>
    <w:p>
      <w:pPr>
        <w:snapToGrid w:val="0"/>
        <w:spacing w:line="380" w:lineRule="exact"/>
        <w:ind w:firstLine="360" w:firstLineChars="150"/>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（一）评分标准</w:t>
      </w:r>
    </w:p>
    <w:tbl>
      <w:tblPr>
        <w:tblStyle w:val="59"/>
        <w:tblW w:w="10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55"/>
        <w:gridCol w:w="752"/>
        <w:gridCol w:w="59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2"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序号</w:t>
            </w:r>
          </w:p>
        </w:tc>
        <w:tc>
          <w:tcPr>
            <w:tcW w:w="1655"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评分因素及权重</w:t>
            </w:r>
          </w:p>
        </w:tc>
        <w:tc>
          <w:tcPr>
            <w:tcW w:w="752"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分值</w:t>
            </w:r>
          </w:p>
        </w:tc>
        <w:tc>
          <w:tcPr>
            <w:tcW w:w="5910"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评分标准</w:t>
            </w:r>
          </w:p>
        </w:tc>
        <w:tc>
          <w:tcPr>
            <w:tcW w:w="1800" w:type="dxa"/>
            <w:shd w:val="clear" w:color="auto" w:fill="FEFEFE"/>
            <w:noWrap w:val="0"/>
            <w:vAlign w:val="center"/>
          </w:tcPr>
          <w:p>
            <w:pPr>
              <w:pStyle w:val="120"/>
              <w:spacing w:before="0" w:after="0" w:line="240" w:lineRule="auto"/>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62"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655"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pPr>
              <w:spacing w:line="240" w:lineRule="auto"/>
              <w:ind w:firstLine="28"/>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0%）</w:t>
            </w:r>
          </w:p>
        </w:tc>
        <w:tc>
          <w:tcPr>
            <w:tcW w:w="752"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0分</w:t>
            </w:r>
          </w:p>
        </w:tc>
        <w:tc>
          <w:tcPr>
            <w:tcW w:w="5910" w:type="dxa"/>
            <w:shd w:val="clear" w:color="auto" w:fill="FEFEFE"/>
            <w:noWrap w:val="0"/>
            <w:vAlign w:val="center"/>
          </w:tcPr>
          <w:p>
            <w:pPr>
              <w:widowControl/>
              <w:spacing w:line="240" w:lineRule="auto"/>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有效的投标报价中的最低价为评标基准价，其价格分为满分。其他投标人的价格分统一按照下列公式计算：</w:t>
            </w:r>
          </w:p>
          <w:p>
            <w:pPr>
              <w:widowControl/>
              <w:spacing w:line="240" w:lineRule="auto"/>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投标报价得分＝（评标基准价/投标报价）×价格权重×100。</w:t>
            </w:r>
          </w:p>
        </w:tc>
        <w:tc>
          <w:tcPr>
            <w:tcW w:w="1800" w:type="dxa"/>
            <w:shd w:val="clear" w:color="auto" w:fill="FEFEFE"/>
            <w:noWrap w:val="0"/>
            <w:vAlign w:val="center"/>
          </w:tcPr>
          <w:p>
            <w:pPr>
              <w:spacing w:line="240" w:lineRule="auto"/>
              <w:ind w:left="-38"/>
              <w:rPr>
                <w:rFonts w:hint="eastAsia" w:ascii="方正仿宋_GBK" w:hAnsi="方正仿宋_GBK" w:eastAsia="方正仿宋_GBK" w:cs="方正仿宋_GBK"/>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8" w:hRule="atLeast"/>
          <w:jc w:val="center"/>
        </w:trPr>
        <w:tc>
          <w:tcPr>
            <w:tcW w:w="762"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655" w:type="dxa"/>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服务</w:t>
            </w:r>
            <w:r>
              <w:rPr>
                <w:rFonts w:hint="eastAsia" w:ascii="方正仿宋_GBK" w:hAnsi="方正仿宋_GBK" w:eastAsia="方正仿宋_GBK" w:cs="方正仿宋_GBK"/>
                <w:color w:val="auto"/>
                <w:sz w:val="24"/>
                <w:szCs w:val="24"/>
                <w:highlight w:val="none"/>
                <w:lang w:val="en-US" w:eastAsia="zh-CN"/>
              </w:rPr>
              <w:t>方案</w:t>
            </w:r>
          </w:p>
          <w:p>
            <w:pPr>
              <w:spacing w:line="240" w:lineRule="auto"/>
              <w:ind w:firstLine="28"/>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w:t>
            </w:r>
          </w:p>
        </w:tc>
        <w:tc>
          <w:tcPr>
            <w:tcW w:w="752" w:type="dxa"/>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分</w:t>
            </w:r>
          </w:p>
        </w:tc>
        <w:tc>
          <w:tcPr>
            <w:tcW w:w="5910" w:type="dxa"/>
            <w:shd w:val="clear" w:color="auto" w:fill="FEFEFE"/>
            <w:noWrap w:val="0"/>
            <w:vAlign w:val="center"/>
          </w:tcPr>
          <w:p>
            <w:pPr>
              <w:widowControl/>
              <w:jc w:val="left"/>
              <w:rPr>
                <w:rFonts w:hint="eastAsia"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（一）</w:t>
            </w:r>
            <w:r>
              <w:rPr>
                <w:rFonts w:hint="eastAsia" w:ascii="方正仿宋_GBK" w:hAnsi="方正仿宋_GBK" w:eastAsia="方正仿宋_GBK" w:cs="方正仿宋_GBK"/>
                <w:color w:val="auto"/>
                <w:kern w:val="0"/>
                <w:sz w:val="24"/>
                <w:szCs w:val="24"/>
                <w:highlight w:val="none"/>
                <w:lang w:eastAsia="zh-CN"/>
              </w:rPr>
              <w:t>投标人</w:t>
            </w:r>
            <w:r>
              <w:rPr>
                <w:rFonts w:hint="eastAsia" w:ascii="方正仿宋_GBK" w:hAnsi="方正仿宋_GBK" w:eastAsia="方正仿宋_GBK" w:cs="方正仿宋_GBK"/>
                <w:color w:val="auto"/>
                <w:kern w:val="0"/>
                <w:sz w:val="24"/>
                <w:szCs w:val="24"/>
                <w:highlight w:val="none"/>
                <w:lang w:val="en-US" w:eastAsia="zh-CN"/>
              </w:rPr>
              <w:t>提供</w:t>
            </w:r>
            <w:r>
              <w:rPr>
                <w:rFonts w:hint="eastAsia" w:ascii="方正仿宋_GBK" w:hAnsi="方正仿宋_GBK" w:eastAsia="方正仿宋_GBK" w:cs="方正仿宋_GBK"/>
                <w:color w:val="auto"/>
                <w:kern w:val="0"/>
                <w:sz w:val="24"/>
                <w:szCs w:val="24"/>
                <w:highlight w:val="none"/>
                <w:lang w:bidi="ar"/>
              </w:rPr>
              <w:t>服务方案：完全符合采购文件中的第二篇项目技术需求，并提供书面方案。（</w:t>
            </w:r>
            <w:r>
              <w:rPr>
                <w:rFonts w:hint="eastAsia" w:ascii="方正仿宋_GBK" w:hAnsi="方正仿宋_GBK" w:eastAsia="方正仿宋_GBK" w:cs="方正仿宋_GBK"/>
                <w:color w:val="auto"/>
                <w:kern w:val="0"/>
                <w:sz w:val="24"/>
                <w:szCs w:val="24"/>
                <w:highlight w:val="none"/>
                <w:lang w:val="en-US" w:eastAsia="zh-CN" w:bidi="ar"/>
              </w:rPr>
              <w:t>30</w:t>
            </w:r>
            <w:r>
              <w:rPr>
                <w:rFonts w:hint="eastAsia" w:ascii="方正仿宋_GBK" w:hAnsi="方正仿宋_GBK" w:eastAsia="方正仿宋_GBK" w:cs="方正仿宋_GBK"/>
                <w:color w:val="auto"/>
                <w:kern w:val="0"/>
                <w:sz w:val="24"/>
                <w:szCs w:val="24"/>
                <w:highlight w:val="none"/>
                <w:lang w:bidi="ar"/>
              </w:rPr>
              <w:t>分）；</w:t>
            </w:r>
          </w:p>
          <w:p>
            <w:pPr>
              <w:widowControl/>
              <w:numPr>
                <w:ilvl w:val="0"/>
                <w:numId w:val="0"/>
              </w:numPr>
              <w:jc w:val="left"/>
              <w:rPr>
                <w:rFonts w:hint="eastAsia"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val="en-US" w:eastAsia="zh-CN" w:bidi="ar"/>
              </w:rPr>
              <w:t>1.</w:t>
            </w:r>
            <w:r>
              <w:rPr>
                <w:rFonts w:hint="eastAsia" w:ascii="方正仿宋_GBK" w:hAnsi="方正仿宋_GBK" w:eastAsia="方正仿宋_GBK" w:cs="方正仿宋_GBK"/>
                <w:color w:val="auto"/>
                <w:kern w:val="0"/>
                <w:sz w:val="24"/>
                <w:szCs w:val="24"/>
                <w:highlight w:val="none"/>
                <w:lang w:bidi="ar"/>
              </w:rPr>
              <w:t>第三方患者满意度调查（能够详细的对门诊，住院项目开展的方案介绍）（1</w:t>
            </w:r>
            <w:r>
              <w:rPr>
                <w:rFonts w:hint="eastAsia" w:ascii="方正仿宋_GBK" w:hAnsi="方正仿宋_GBK" w:eastAsia="方正仿宋_GBK" w:cs="方正仿宋_GBK"/>
                <w:color w:val="auto"/>
                <w:kern w:val="0"/>
                <w:sz w:val="24"/>
                <w:szCs w:val="24"/>
                <w:highlight w:val="none"/>
                <w:lang w:val="en-US" w:eastAsia="zh-CN" w:bidi="ar"/>
              </w:rPr>
              <w:t>5</w:t>
            </w:r>
            <w:r>
              <w:rPr>
                <w:rFonts w:hint="eastAsia" w:ascii="方正仿宋_GBK" w:hAnsi="方正仿宋_GBK" w:eastAsia="方正仿宋_GBK" w:cs="方正仿宋_GBK"/>
                <w:color w:val="auto"/>
                <w:kern w:val="0"/>
                <w:sz w:val="24"/>
                <w:szCs w:val="24"/>
                <w:highlight w:val="none"/>
                <w:lang w:bidi="ar"/>
              </w:rPr>
              <w:t>分）</w:t>
            </w:r>
          </w:p>
          <w:p>
            <w:pPr>
              <w:widowControl/>
              <w:jc w:val="left"/>
              <w:rPr>
                <w:rFonts w:hint="eastAsia"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①方案描述清晰，完整可行，得11-15分。</w:t>
            </w:r>
          </w:p>
          <w:p>
            <w:pPr>
              <w:widowControl/>
              <w:jc w:val="left"/>
              <w:rPr>
                <w:rFonts w:hint="eastAsia"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②方案描述较清晰，较可行，得6-10分。</w:t>
            </w:r>
          </w:p>
          <w:p>
            <w:pPr>
              <w:widowControl/>
              <w:jc w:val="left"/>
              <w:rPr>
                <w:rFonts w:hint="eastAsia"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③方案描述不够清晰，可行性一般，得1-5分。</w:t>
            </w:r>
          </w:p>
          <w:p>
            <w:pPr>
              <w:widowControl/>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④无方案，得0分。</w:t>
            </w:r>
          </w:p>
          <w:p>
            <w:pPr>
              <w:widowControl/>
              <w:numPr>
                <w:ilvl w:val="0"/>
                <w:numId w:val="0"/>
              </w:num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val="en-US" w:eastAsia="zh-CN" w:bidi="ar"/>
              </w:rPr>
              <w:t>2.</w:t>
            </w:r>
            <w:r>
              <w:rPr>
                <w:rFonts w:hint="eastAsia" w:ascii="方正仿宋_GBK" w:hAnsi="方正仿宋_GBK" w:eastAsia="方正仿宋_GBK" w:cs="方正仿宋_GBK"/>
                <w:color w:val="auto"/>
                <w:kern w:val="0"/>
                <w:sz w:val="24"/>
                <w:szCs w:val="24"/>
                <w:highlight w:val="none"/>
                <w:lang w:bidi="ar"/>
              </w:rPr>
              <w:t>国家公立医院绩效考核方案介绍（门诊和住院病人满意度测评）（1</w:t>
            </w:r>
            <w:r>
              <w:rPr>
                <w:rFonts w:hint="eastAsia" w:ascii="方正仿宋_GBK" w:hAnsi="方正仿宋_GBK" w:eastAsia="方正仿宋_GBK" w:cs="方正仿宋_GBK"/>
                <w:color w:val="auto"/>
                <w:kern w:val="0"/>
                <w:sz w:val="24"/>
                <w:szCs w:val="24"/>
                <w:highlight w:val="none"/>
                <w:lang w:val="en-US" w:eastAsia="zh-CN" w:bidi="ar"/>
              </w:rPr>
              <w:t>0</w:t>
            </w:r>
            <w:r>
              <w:rPr>
                <w:rFonts w:hint="eastAsia" w:ascii="方正仿宋_GBK" w:hAnsi="方正仿宋_GBK" w:eastAsia="方正仿宋_GBK" w:cs="方正仿宋_GBK"/>
                <w:color w:val="auto"/>
                <w:kern w:val="0"/>
                <w:sz w:val="24"/>
                <w:szCs w:val="24"/>
                <w:highlight w:val="none"/>
                <w:lang w:bidi="ar"/>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①方案描述清晰，完整可行，得</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②方案描述较清晰，较可行，得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③方案描述不够清晰，可行性一般，得1-</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④无方案，得0分。</w:t>
            </w:r>
          </w:p>
          <w:p>
            <w:pPr>
              <w:widowControl/>
              <w:numPr>
                <w:ilvl w:val="0"/>
                <w:numId w:val="0"/>
              </w:numPr>
              <w:jc w:val="left"/>
              <w:rPr>
                <w:rFonts w:hint="eastAsia" w:ascii="方正仿宋_GBK" w:hAnsi="方正仿宋_GBK" w:eastAsia="方正仿宋_GBK" w:cs="方正仿宋_GBK"/>
                <w:b w:val="0"/>
                <w:color w:val="auto"/>
                <w:sz w:val="24"/>
                <w:szCs w:val="24"/>
                <w:highlight w:val="none"/>
              </w:rPr>
            </w:pPr>
            <w:r>
              <w:rPr>
                <w:rFonts w:hint="eastAsia" w:ascii="方正仿宋_GBK" w:hAnsi="方正仿宋_GBK" w:eastAsia="方正仿宋_GBK" w:cs="方正仿宋_GBK"/>
                <w:b w:val="0"/>
                <w:color w:val="auto"/>
                <w:sz w:val="24"/>
                <w:szCs w:val="24"/>
                <w:highlight w:val="none"/>
                <w:lang w:val="en-US" w:eastAsia="zh-CN"/>
              </w:rPr>
              <w:t>3.员工</w:t>
            </w:r>
            <w:r>
              <w:rPr>
                <w:rFonts w:hint="eastAsia" w:ascii="方正仿宋_GBK" w:hAnsi="方正仿宋_GBK" w:eastAsia="方正仿宋_GBK" w:cs="方正仿宋_GBK"/>
                <w:b w:val="0"/>
                <w:color w:val="auto"/>
                <w:sz w:val="24"/>
                <w:szCs w:val="24"/>
                <w:highlight w:val="none"/>
              </w:rPr>
              <w:t>满意度调查（</w:t>
            </w:r>
            <w:r>
              <w:rPr>
                <w:rFonts w:hint="eastAsia" w:ascii="方正仿宋_GBK" w:hAnsi="方正仿宋_GBK" w:eastAsia="方正仿宋_GBK" w:cs="方正仿宋_GBK"/>
                <w:b w:val="0"/>
                <w:color w:val="auto"/>
                <w:sz w:val="24"/>
                <w:szCs w:val="24"/>
                <w:highlight w:val="none"/>
                <w:lang w:val="en-US" w:eastAsia="zh-CN"/>
              </w:rPr>
              <w:t>5</w:t>
            </w:r>
            <w:r>
              <w:rPr>
                <w:rFonts w:hint="eastAsia" w:ascii="方正仿宋_GBK" w:hAnsi="方正仿宋_GBK" w:eastAsia="方正仿宋_GBK" w:cs="方正仿宋_GBK"/>
                <w:b w:val="0"/>
                <w:color w:val="auto"/>
                <w:sz w:val="24"/>
                <w:szCs w:val="24"/>
                <w:highlight w:val="none"/>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①方案描述清晰，完整可行，得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②方案描述较清晰，较可行，得</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③方案描述不够清晰，可行性一般，得1分。</w:t>
            </w:r>
          </w:p>
          <w:p>
            <w:pPr>
              <w:widowControl/>
              <w:spacing w:line="300" w:lineRule="exact"/>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④无方案，得0分。</w:t>
            </w:r>
          </w:p>
        </w:tc>
        <w:tc>
          <w:tcPr>
            <w:tcW w:w="1800" w:type="dxa"/>
            <w:shd w:val="clear" w:color="auto" w:fill="FEFEFE"/>
            <w:noWrap w:val="0"/>
            <w:vAlign w:val="center"/>
          </w:tcPr>
          <w:p>
            <w:pPr>
              <w:widowControl/>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采购人会以采购文件中的第二篇项目技术需求为标准，对各</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提供的书面方案进行横向比较评分</w:t>
            </w:r>
            <w:r>
              <w:rPr>
                <w:rFonts w:hint="eastAsia" w:ascii="方正仿宋_GBK" w:hAnsi="方正仿宋_GBK" w:eastAsia="方正仿宋_GBK" w:cs="方正仿宋_GBK"/>
                <w:color w:val="auto"/>
                <w:sz w:val="24"/>
                <w:szCs w:val="24"/>
                <w:highlight w:val="none"/>
                <w:lang w:eastAsia="zh-CN"/>
              </w:rPr>
              <w:t>。</w:t>
            </w:r>
          </w:p>
          <w:p>
            <w:pPr>
              <w:spacing w:line="240" w:lineRule="auto"/>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62" w:type="dxa"/>
            <w:vMerge w:val="restart"/>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p>
        </w:tc>
        <w:tc>
          <w:tcPr>
            <w:tcW w:w="1655" w:type="dxa"/>
            <w:vMerge w:val="restart"/>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服务能力</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w:t>
            </w:r>
          </w:p>
        </w:tc>
        <w:tc>
          <w:tcPr>
            <w:tcW w:w="752" w:type="dxa"/>
            <w:vMerge w:val="restart"/>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10分</w:t>
            </w:r>
          </w:p>
        </w:tc>
        <w:tc>
          <w:tcPr>
            <w:tcW w:w="5910" w:type="dxa"/>
            <w:shd w:val="clear" w:color="auto" w:fill="FEFEFE"/>
            <w:noWrap w:val="0"/>
            <w:vAlign w:val="center"/>
          </w:tcPr>
          <w:p>
            <w:pPr>
              <w:widowControl/>
              <w:jc w:val="left"/>
              <w:rPr>
                <w:rFonts w:hint="eastAsia"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w:t>
            </w:r>
            <w:r>
              <w:rPr>
                <w:rFonts w:hint="eastAsia" w:ascii="方正仿宋_GBK" w:hAnsi="方正仿宋_GBK" w:eastAsia="方正仿宋_GBK" w:cs="方正仿宋_GBK"/>
                <w:color w:val="auto"/>
                <w:kern w:val="0"/>
                <w:sz w:val="24"/>
                <w:szCs w:val="24"/>
                <w:highlight w:val="none"/>
                <w:lang w:val="en-US" w:eastAsia="zh-CN" w:bidi="ar"/>
              </w:rPr>
              <w:t>一</w:t>
            </w:r>
            <w:r>
              <w:rPr>
                <w:rFonts w:hint="eastAsia" w:ascii="方正仿宋_GBK" w:hAnsi="方正仿宋_GBK" w:eastAsia="方正仿宋_GBK" w:cs="方正仿宋_GBK"/>
                <w:color w:val="auto"/>
                <w:kern w:val="0"/>
                <w:sz w:val="24"/>
                <w:szCs w:val="24"/>
                <w:highlight w:val="none"/>
                <w:lang w:bidi="ar"/>
              </w:rPr>
              <w:t>）</w:t>
            </w:r>
            <w:r>
              <w:rPr>
                <w:rFonts w:hint="eastAsia" w:ascii="方正仿宋_GBK" w:hAnsi="方正仿宋_GBK" w:eastAsia="方正仿宋_GBK" w:cs="方正仿宋_GBK"/>
                <w:color w:val="auto"/>
                <w:kern w:val="0"/>
                <w:sz w:val="24"/>
                <w:szCs w:val="24"/>
                <w:highlight w:val="none"/>
                <w:lang w:eastAsia="zh-CN"/>
              </w:rPr>
              <w:t>投标人</w:t>
            </w:r>
            <w:r>
              <w:rPr>
                <w:rFonts w:hint="eastAsia" w:ascii="方正仿宋_GBK" w:hAnsi="方正仿宋_GBK" w:eastAsia="方正仿宋_GBK" w:cs="方正仿宋_GBK"/>
                <w:color w:val="auto"/>
                <w:kern w:val="0"/>
                <w:sz w:val="24"/>
                <w:szCs w:val="24"/>
                <w:highlight w:val="none"/>
                <w:lang w:val="en-US" w:eastAsia="zh-CN"/>
              </w:rPr>
              <w:t>提供</w:t>
            </w:r>
            <w:r>
              <w:rPr>
                <w:rFonts w:hint="eastAsia" w:ascii="方正仿宋_GBK" w:hAnsi="方正仿宋_GBK" w:eastAsia="方正仿宋_GBK" w:cs="方正仿宋_GBK"/>
                <w:color w:val="auto"/>
                <w:kern w:val="0"/>
                <w:sz w:val="24"/>
                <w:szCs w:val="24"/>
                <w:highlight w:val="none"/>
                <w:lang w:bidi="ar"/>
              </w:rPr>
              <w:t>测评工具（</w:t>
            </w:r>
            <w:r>
              <w:rPr>
                <w:rFonts w:hint="eastAsia" w:ascii="方正仿宋_GBK" w:hAnsi="方正仿宋_GBK" w:eastAsia="方正仿宋_GBK" w:cs="方正仿宋_GBK"/>
                <w:color w:val="auto"/>
                <w:kern w:val="0"/>
                <w:sz w:val="24"/>
                <w:szCs w:val="24"/>
                <w:highlight w:val="none"/>
                <w:lang w:val="en-US" w:eastAsia="zh-CN" w:bidi="ar"/>
              </w:rPr>
              <w:t>5</w:t>
            </w:r>
            <w:r>
              <w:rPr>
                <w:rFonts w:hint="eastAsia" w:ascii="方正仿宋_GBK" w:hAnsi="方正仿宋_GBK" w:eastAsia="方正仿宋_GBK" w:cs="方正仿宋_GBK"/>
                <w:color w:val="auto"/>
                <w:kern w:val="0"/>
                <w:sz w:val="24"/>
                <w:szCs w:val="24"/>
                <w:highlight w:val="none"/>
                <w:lang w:bidi="ar"/>
              </w:rPr>
              <w:t>分）：</w:t>
            </w:r>
          </w:p>
          <w:p>
            <w:pPr>
              <w:widowControl/>
              <w:jc w:val="left"/>
              <w:rPr>
                <w:rFonts w:hint="eastAsia" w:ascii="方正仿宋_GBK" w:hAnsi="方正仿宋_GBK" w:eastAsia="方正仿宋_GBK" w:cs="方正仿宋_GBK"/>
                <w:color w:val="auto"/>
                <w:kern w:val="0"/>
                <w:sz w:val="24"/>
                <w:szCs w:val="24"/>
                <w:highlight w:val="none"/>
                <w:lang w:eastAsia="zh-CN" w:bidi="ar"/>
              </w:rPr>
            </w:pPr>
            <w:r>
              <w:rPr>
                <w:rFonts w:hint="eastAsia" w:ascii="方正仿宋_GBK" w:hAnsi="方正仿宋_GBK" w:eastAsia="方正仿宋_GBK" w:cs="方正仿宋_GBK"/>
                <w:color w:val="auto"/>
                <w:kern w:val="0"/>
                <w:sz w:val="24"/>
                <w:szCs w:val="24"/>
                <w:highlight w:val="none"/>
                <w:lang w:bidi="ar"/>
              </w:rPr>
              <w:t>企业采用信息化调查方式，具有测评信息终端及采集系统</w:t>
            </w:r>
            <w:r>
              <w:rPr>
                <w:rFonts w:hint="eastAsia" w:ascii="方正仿宋_GBK" w:hAnsi="方正仿宋_GBK" w:eastAsia="方正仿宋_GBK" w:cs="方正仿宋_GBK"/>
                <w:color w:val="auto"/>
                <w:kern w:val="0"/>
                <w:sz w:val="24"/>
                <w:szCs w:val="24"/>
                <w:highlight w:val="none"/>
                <w:lang w:eastAsia="zh-CN" w:bidi="ar"/>
              </w:rPr>
              <w:t>（</w:t>
            </w:r>
            <w:r>
              <w:rPr>
                <w:rFonts w:hint="eastAsia" w:ascii="方正仿宋_GBK" w:hAnsi="方正仿宋_GBK" w:eastAsia="方正仿宋_GBK" w:cs="方正仿宋_GBK"/>
                <w:color w:val="auto"/>
                <w:kern w:val="0"/>
                <w:sz w:val="24"/>
                <w:szCs w:val="24"/>
                <w:highlight w:val="none"/>
                <w:lang w:val="en-US" w:eastAsia="zh-CN" w:bidi="ar"/>
              </w:rPr>
              <w:t>系统后台能全程录音和摄像</w:t>
            </w:r>
            <w:r>
              <w:rPr>
                <w:rFonts w:hint="eastAsia" w:ascii="方正仿宋_GBK" w:hAnsi="方正仿宋_GBK" w:eastAsia="方正仿宋_GBK" w:cs="方正仿宋_GBK"/>
                <w:color w:val="auto"/>
                <w:kern w:val="0"/>
                <w:sz w:val="24"/>
                <w:szCs w:val="24"/>
                <w:highlight w:val="none"/>
                <w:lang w:eastAsia="zh-CN" w:bidi="ar"/>
              </w:rPr>
              <w:t>）</w:t>
            </w:r>
            <w:r>
              <w:rPr>
                <w:rFonts w:hint="eastAsia" w:ascii="方正仿宋_GBK" w:hAnsi="方正仿宋_GBK" w:eastAsia="方正仿宋_GBK" w:cs="方正仿宋_GBK"/>
                <w:color w:val="auto"/>
                <w:kern w:val="0"/>
                <w:sz w:val="24"/>
                <w:szCs w:val="24"/>
                <w:highlight w:val="none"/>
                <w:lang w:bidi="ar"/>
              </w:rPr>
              <w:t>的得</w:t>
            </w:r>
            <w:r>
              <w:rPr>
                <w:rFonts w:hint="eastAsia" w:ascii="方正仿宋_GBK" w:hAnsi="方正仿宋_GBK" w:eastAsia="方正仿宋_GBK" w:cs="方正仿宋_GBK"/>
                <w:color w:val="auto"/>
                <w:kern w:val="0"/>
                <w:sz w:val="24"/>
                <w:szCs w:val="24"/>
                <w:highlight w:val="none"/>
                <w:lang w:val="en-US" w:eastAsia="zh-CN" w:bidi="ar"/>
              </w:rPr>
              <w:t>5</w:t>
            </w:r>
            <w:r>
              <w:rPr>
                <w:rFonts w:hint="eastAsia" w:ascii="方正仿宋_GBK" w:hAnsi="方正仿宋_GBK" w:eastAsia="方正仿宋_GBK" w:cs="方正仿宋_GBK"/>
                <w:color w:val="auto"/>
                <w:kern w:val="0"/>
                <w:sz w:val="24"/>
                <w:szCs w:val="24"/>
                <w:highlight w:val="none"/>
                <w:lang w:bidi="ar"/>
              </w:rPr>
              <w:t xml:space="preserve"> 分，未提供不得分</w:t>
            </w:r>
            <w:r>
              <w:rPr>
                <w:rFonts w:hint="eastAsia" w:ascii="方正仿宋_GBK" w:hAnsi="方正仿宋_GBK" w:eastAsia="方正仿宋_GBK" w:cs="方正仿宋_GBK"/>
                <w:color w:val="auto"/>
                <w:kern w:val="0"/>
                <w:sz w:val="24"/>
                <w:szCs w:val="24"/>
                <w:highlight w:val="none"/>
                <w:lang w:eastAsia="zh-CN" w:bidi="ar"/>
              </w:rPr>
              <w:t>。</w:t>
            </w:r>
          </w:p>
        </w:tc>
        <w:tc>
          <w:tcPr>
            <w:tcW w:w="1800" w:type="dxa"/>
            <w:vMerge w:val="restart"/>
            <w:shd w:val="clear" w:color="auto" w:fill="FEFEFE"/>
            <w:noWrap w:val="0"/>
            <w:vAlign w:val="center"/>
          </w:tcPr>
          <w:p>
            <w:pPr>
              <w:widowControl/>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投标人提供录音、录像备查、数据分析平台截图等相关佐证材料并盖单位鲜章。</w:t>
            </w:r>
          </w:p>
          <w:p>
            <w:pPr>
              <w:widowControl/>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以投标文件中可查询到</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lang w:eastAsia="zh-CN"/>
              </w:rPr>
              <w:t>相关证明文件（或复印件）为准。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62" w:type="dxa"/>
            <w:vMerge w:val="continue"/>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p>
        </w:tc>
        <w:tc>
          <w:tcPr>
            <w:tcW w:w="1655" w:type="dxa"/>
            <w:vMerge w:val="continue"/>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p>
        </w:tc>
        <w:tc>
          <w:tcPr>
            <w:tcW w:w="752" w:type="dxa"/>
            <w:vMerge w:val="continue"/>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lang w:val="en-US" w:eastAsia="zh-CN"/>
              </w:rPr>
            </w:pPr>
          </w:p>
        </w:tc>
        <w:tc>
          <w:tcPr>
            <w:tcW w:w="5910" w:type="dxa"/>
            <w:shd w:val="clear" w:color="auto" w:fill="FEFEFE"/>
            <w:noWrap w:val="0"/>
            <w:vAlign w:val="center"/>
          </w:tcPr>
          <w:p>
            <w:pPr>
              <w:widowControl/>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kern w:val="0"/>
                <w:sz w:val="24"/>
                <w:szCs w:val="24"/>
                <w:highlight w:val="none"/>
                <w:lang w:eastAsia="zh-CN"/>
              </w:rPr>
              <w:t>投标人</w:t>
            </w:r>
            <w:r>
              <w:rPr>
                <w:rFonts w:hint="eastAsia" w:ascii="方正仿宋_GBK" w:hAnsi="方正仿宋_GBK" w:eastAsia="方正仿宋_GBK" w:cs="方正仿宋_GBK"/>
                <w:color w:val="auto"/>
                <w:kern w:val="0"/>
                <w:sz w:val="24"/>
                <w:szCs w:val="24"/>
                <w:highlight w:val="none"/>
                <w:lang w:val="en-US" w:eastAsia="zh-CN"/>
              </w:rPr>
              <w:t>提供</w:t>
            </w:r>
            <w:r>
              <w:rPr>
                <w:rFonts w:hint="eastAsia" w:ascii="方正仿宋_GBK" w:hAnsi="方正仿宋_GBK" w:eastAsia="方正仿宋_GBK" w:cs="方正仿宋_GBK"/>
                <w:color w:val="auto"/>
                <w:kern w:val="0"/>
                <w:sz w:val="24"/>
                <w:szCs w:val="24"/>
                <w:highlight w:val="none"/>
                <w:lang w:bidi="ar"/>
              </w:rPr>
              <w:t>数据分析（</w:t>
            </w:r>
            <w:r>
              <w:rPr>
                <w:rFonts w:hint="eastAsia" w:ascii="方正仿宋_GBK" w:hAnsi="方正仿宋_GBK" w:eastAsia="方正仿宋_GBK" w:cs="方正仿宋_GBK"/>
                <w:color w:val="auto"/>
                <w:kern w:val="0"/>
                <w:sz w:val="24"/>
                <w:szCs w:val="24"/>
                <w:highlight w:val="none"/>
                <w:lang w:val="en-US" w:eastAsia="zh-CN" w:bidi="ar"/>
              </w:rPr>
              <w:t>5</w:t>
            </w:r>
            <w:r>
              <w:rPr>
                <w:rFonts w:hint="eastAsia" w:ascii="方正仿宋_GBK" w:hAnsi="方正仿宋_GBK" w:eastAsia="方正仿宋_GBK" w:cs="方正仿宋_GBK"/>
                <w:color w:val="auto"/>
                <w:kern w:val="0"/>
                <w:sz w:val="24"/>
                <w:szCs w:val="24"/>
                <w:highlight w:val="none"/>
                <w:lang w:bidi="ar"/>
              </w:rPr>
              <w:t>分）</w:t>
            </w:r>
          </w:p>
          <w:p>
            <w:pPr>
              <w:widowControl/>
              <w:jc w:val="left"/>
              <w:rPr>
                <w:rFonts w:hint="eastAsia" w:ascii="方正仿宋_GBK" w:hAnsi="方正仿宋_GBK" w:eastAsia="方正仿宋_GBK" w:cs="方正仿宋_GBK"/>
                <w:color w:val="auto"/>
                <w:kern w:val="0"/>
                <w:sz w:val="24"/>
                <w:szCs w:val="24"/>
                <w:highlight w:val="none"/>
                <w:lang w:eastAsia="zh-CN" w:bidi="ar"/>
              </w:rPr>
            </w:pPr>
            <w:r>
              <w:rPr>
                <w:rFonts w:hint="eastAsia" w:ascii="方正仿宋_GBK" w:hAnsi="方正仿宋_GBK" w:eastAsia="方正仿宋_GBK" w:cs="方正仿宋_GBK"/>
                <w:color w:val="auto"/>
                <w:kern w:val="0"/>
                <w:sz w:val="24"/>
                <w:szCs w:val="24"/>
                <w:highlight w:val="none"/>
                <w:lang w:bidi="ar"/>
              </w:rPr>
              <w:t>能为医院提供历史改进效果，监测和记录工作，具备信息化数据分析</w:t>
            </w:r>
            <w:r>
              <w:rPr>
                <w:rFonts w:hint="eastAsia" w:ascii="方正仿宋_GBK" w:hAnsi="方正仿宋_GBK" w:eastAsia="方正仿宋_GBK" w:cs="方正仿宋_GBK"/>
                <w:color w:val="auto"/>
                <w:kern w:val="0"/>
                <w:sz w:val="24"/>
                <w:szCs w:val="24"/>
                <w:highlight w:val="none"/>
                <w:lang w:eastAsia="zh-CN" w:bidi="ar"/>
              </w:rPr>
              <w:t>，</w:t>
            </w:r>
            <w:r>
              <w:rPr>
                <w:rFonts w:hint="eastAsia" w:ascii="方正仿宋_GBK" w:hAnsi="方正仿宋_GBK" w:eastAsia="方正仿宋_GBK" w:cs="方正仿宋_GBK"/>
                <w:color w:val="auto"/>
                <w:sz w:val="24"/>
                <w:szCs w:val="24"/>
                <w:highlight w:val="none"/>
                <w:lang w:val="en-US" w:eastAsia="zh-CN"/>
              </w:rPr>
              <w:t>医院满意度数据可视化平台</w:t>
            </w:r>
            <w:r>
              <w:rPr>
                <w:rFonts w:hint="eastAsia" w:ascii="方正仿宋_GBK" w:hAnsi="方正仿宋_GBK" w:eastAsia="方正仿宋_GBK" w:cs="方正仿宋_GBK"/>
                <w:color w:val="auto"/>
                <w:kern w:val="0"/>
                <w:sz w:val="24"/>
                <w:szCs w:val="24"/>
                <w:highlight w:val="none"/>
                <w:lang w:bidi="ar"/>
              </w:rPr>
              <w:t xml:space="preserve">或软件系统方案的得 </w:t>
            </w:r>
            <w:r>
              <w:rPr>
                <w:rFonts w:hint="eastAsia" w:ascii="方正仿宋_GBK" w:hAnsi="方正仿宋_GBK" w:eastAsia="方正仿宋_GBK" w:cs="方正仿宋_GBK"/>
                <w:color w:val="auto"/>
                <w:kern w:val="0"/>
                <w:sz w:val="24"/>
                <w:szCs w:val="24"/>
                <w:highlight w:val="none"/>
                <w:lang w:val="en-US" w:eastAsia="zh-CN" w:bidi="ar"/>
              </w:rPr>
              <w:t>5</w:t>
            </w:r>
            <w:r>
              <w:rPr>
                <w:rFonts w:hint="eastAsia" w:ascii="方正仿宋_GBK" w:hAnsi="方正仿宋_GBK" w:eastAsia="方正仿宋_GBK" w:cs="方正仿宋_GBK"/>
                <w:color w:val="auto"/>
                <w:kern w:val="0"/>
                <w:sz w:val="24"/>
                <w:szCs w:val="24"/>
                <w:highlight w:val="none"/>
                <w:lang w:bidi="ar"/>
              </w:rPr>
              <w:t xml:space="preserve"> 分，未提供不得分</w:t>
            </w:r>
            <w:r>
              <w:rPr>
                <w:rFonts w:hint="eastAsia" w:ascii="方正仿宋_GBK" w:hAnsi="方正仿宋_GBK" w:eastAsia="方正仿宋_GBK" w:cs="方正仿宋_GBK"/>
                <w:color w:val="auto"/>
                <w:kern w:val="0"/>
                <w:sz w:val="24"/>
                <w:szCs w:val="24"/>
                <w:highlight w:val="none"/>
                <w:lang w:eastAsia="zh-CN" w:bidi="ar"/>
              </w:rPr>
              <w:t>。</w:t>
            </w:r>
          </w:p>
        </w:tc>
        <w:tc>
          <w:tcPr>
            <w:tcW w:w="1800" w:type="dxa"/>
            <w:vMerge w:val="continue"/>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2" w:type="dxa"/>
            <w:vMerge w:val="restart"/>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w:t>
            </w:r>
          </w:p>
        </w:tc>
        <w:tc>
          <w:tcPr>
            <w:tcW w:w="1655" w:type="dxa"/>
            <w:vMerge w:val="restart"/>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商务部分（</w:t>
            </w:r>
            <w:r>
              <w:rPr>
                <w:rFonts w:hint="eastAsia" w:ascii="方正仿宋_GBK" w:hAnsi="方正仿宋_GBK" w:eastAsia="方正仿宋_GBK" w:cs="方正仿宋_GBK"/>
                <w:color w:val="auto"/>
                <w:sz w:val="24"/>
                <w:szCs w:val="24"/>
                <w:highlight w:val="none"/>
                <w:lang w:val="en-US" w:eastAsia="zh-CN"/>
              </w:rPr>
              <w:t>40</w:t>
            </w:r>
            <w:r>
              <w:rPr>
                <w:rFonts w:hint="eastAsia" w:ascii="方正仿宋_GBK" w:hAnsi="方正仿宋_GBK" w:eastAsia="方正仿宋_GBK" w:cs="方正仿宋_GBK"/>
                <w:color w:val="auto"/>
                <w:sz w:val="24"/>
                <w:szCs w:val="24"/>
                <w:highlight w:val="none"/>
              </w:rPr>
              <w:t>%）</w:t>
            </w:r>
          </w:p>
        </w:tc>
        <w:tc>
          <w:tcPr>
            <w:tcW w:w="752" w:type="dxa"/>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rPr>
              <w:t>分</w:t>
            </w:r>
          </w:p>
        </w:tc>
        <w:tc>
          <w:tcPr>
            <w:tcW w:w="5910" w:type="dxa"/>
            <w:shd w:val="clear" w:color="auto" w:fill="FEFEFE"/>
            <w:noWrap w:val="0"/>
            <w:vAlign w:val="center"/>
          </w:tcPr>
          <w:p>
            <w:pPr>
              <w:pStyle w:val="90"/>
              <w:spacing w:line="240" w:lineRule="auto"/>
              <w:ind w:firstLine="0" w:firstLineChars="0"/>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同类</w:t>
            </w:r>
            <w:r>
              <w:rPr>
                <w:rFonts w:hint="eastAsia" w:ascii="方正仿宋_GBK" w:hAnsi="方正仿宋_GBK" w:eastAsia="方正仿宋_GBK" w:cs="方正仿宋_GBK"/>
                <w:color w:val="auto"/>
                <w:sz w:val="24"/>
                <w:szCs w:val="24"/>
                <w:highlight w:val="none"/>
              </w:rPr>
              <w:t>业绩。（</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rPr>
              <w:t>分）</w:t>
            </w:r>
          </w:p>
          <w:p>
            <w:pPr>
              <w:spacing w:line="240" w:lineRule="auto"/>
              <w:jc w:val="left"/>
              <w:outlineLvl w:val="2"/>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eastAsia="zh-CN"/>
              </w:rPr>
              <w:t>投标人</w:t>
            </w:r>
            <w:r>
              <w:rPr>
                <w:rFonts w:hint="eastAsia" w:ascii="方正仿宋_GBK" w:hAnsi="方正仿宋_GBK" w:eastAsia="方正仿宋_GBK" w:cs="方正仿宋_GBK"/>
                <w:color w:val="auto"/>
                <w:kern w:val="0"/>
                <w:sz w:val="24"/>
                <w:szCs w:val="24"/>
                <w:highlight w:val="none"/>
                <w:lang w:val="en-US" w:eastAsia="zh-CN"/>
              </w:rPr>
              <w:t>提供</w:t>
            </w:r>
            <w:r>
              <w:rPr>
                <w:rFonts w:hint="eastAsia" w:ascii="方正仿宋_GBK" w:hAnsi="方正仿宋_GBK" w:eastAsia="方正仿宋_GBK" w:cs="方正仿宋_GBK"/>
                <w:color w:val="auto"/>
                <w:kern w:val="0"/>
                <w:sz w:val="24"/>
                <w:szCs w:val="24"/>
                <w:highlight w:val="none"/>
              </w:rPr>
              <w:t>20</w:t>
            </w:r>
            <w:r>
              <w:rPr>
                <w:rFonts w:hint="eastAsia" w:ascii="方正仿宋_GBK" w:hAnsi="方正仿宋_GBK" w:eastAsia="方正仿宋_GBK" w:cs="方正仿宋_GBK"/>
                <w:color w:val="auto"/>
                <w:kern w:val="0"/>
                <w:sz w:val="24"/>
                <w:szCs w:val="24"/>
                <w:highlight w:val="none"/>
                <w:lang w:val="en-US" w:eastAsia="zh-CN"/>
              </w:rPr>
              <w:t>20</w:t>
            </w:r>
            <w:r>
              <w:rPr>
                <w:rFonts w:hint="eastAsia" w:ascii="方正仿宋_GBK" w:hAnsi="方正仿宋_GBK" w:eastAsia="方正仿宋_GBK" w:cs="方正仿宋_GBK"/>
                <w:color w:val="auto"/>
                <w:kern w:val="0"/>
                <w:sz w:val="24"/>
                <w:szCs w:val="24"/>
                <w:highlight w:val="none"/>
              </w:rPr>
              <w:t>年1月1月至投标截止日止（以合同签订时间为准）</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为医疗卫生机构提供满意度测评服务的，</w:t>
            </w:r>
            <w:r>
              <w:rPr>
                <w:rFonts w:hint="eastAsia" w:ascii="方正仿宋_GBK" w:hAnsi="方正仿宋_GBK" w:eastAsia="方正仿宋_GBK" w:cs="方正仿宋_GBK"/>
                <w:color w:val="auto"/>
                <w:sz w:val="24"/>
                <w:szCs w:val="24"/>
                <w:highlight w:val="none"/>
                <w:lang w:val="en-US" w:eastAsia="zh-CN"/>
              </w:rPr>
              <w:t>服务于区级及以上卫健委的，每</w:t>
            </w:r>
            <w:r>
              <w:rPr>
                <w:rFonts w:hint="eastAsia" w:ascii="方正仿宋_GBK" w:hAnsi="方正仿宋_GBK" w:eastAsia="方正仿宋_GBK" w:cs="方正仿宋_GBK"/>
                <w:color w:val="auto"/>
                <w:sz w:val="24"/>
                <w:szCs w:val="24"/>
                <w:highlight w:val="none"/>
              </w:rPr>
              <w:t>提供1</w:t>
            </w:r>
            <w:r>
              <w:rPr>
                <w:rFonts w:hint="eastAsia" w:ascii="方正仿宋_GBK" w:hAnsi="方正仿宋_GBK" w:eastAsia="方正仿宋_GBK" w:cs="方正仿宋_GBK"/>
                <w:color w:val="auto"/>
                <w:sz w:val="24"/>
                <w:szCs w:val="24"/>
                <w:highlight w:val="none"/>
                <w:lang w:val="en-US" w:eastAsia="zh-CN"/>
              </w:rPr>
              <w:t>份</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val="en-US" w:eastAsia="zh-CN"/>
              </w:rPr>
              <w:t>；服务于三级医疗机构的，每</w:t>
            </w:r>
            <w:r>
              <w:rPr>
                <w:rFonts w:hint="eastAsia" w:ascii="方正仿宋_GBK" w:hAnsi="方正仿宋_GBK" w:eastAsia="方正仿宋_GBK" w:cs="方正仿宋_GBK"/>
                <w:color w:val="auto"/>
                <w:sz w:val="24"/>
                <w:szCs w:val="24"/>
                <w:highlight w:val="none"/>
              </w:rPr>
              <w:t>提供1</w:t>
            </w:r>
            <w:r>
              <w:rPr>
                <w:rFonts w:hint="eastAsia" w:ascii="方正仿宋_GBK" w:hAnsi="方正仿宋_GBK" w:eastAsia="方正仿宋_GBK" w:cs="方正仿宋_GBK"/>
                <w:color w:val="auto"/>
                <w:sz w:val="24"/>
                <w:szCs w:val="24"/>
                <w:highlight w:val="none"/>
                <w:lang w:val="en-US" w:eastAsia="zh-CN"/>
              </w:rPr>
              <w:t>份</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val="en-US" w:eastAsia="zh-CN"/>
              </w:rPr>
              <w:t>；服务于二级或其他医疗机构的每</w:t>
            </w:r>
            <w:r>
              <w:rPr>
                <w:rFonts w:hint="eastAsia" w:ascii="方正仿宋_GBK" w:hAnsi="方正仿宋_GBK" w:eastAsia="方正仿宋_GBK" w:cs="方正仿宋_GBK"/>
                <w:color w:val="auto"/>
                <w:sz w:val="24"/>
                <w:szCs w:val="24"/>
                <w:highlight w:val="none"/>
              </w:rPr>
              <w:t>提供1</w:t>
            </w:r>
            <w:r>
              <w:rPr>
                <w:rFonts w:hint="eastAsia" w:ascii="方正仿宋_GBK" w:hAnsi="方正仿宋_GBK" w:eastAsia="方正仿宋_GBK" w:cs="方正仿宋_GBK"/>
                <w:color w:val="auto"/>
                <w:sz w:val="24"/>
                <w:szCs w:val="24"/>
                <w:highlight w:val="none"/>
                <w:lang w:val="en-US" w:eastAsia="zh-CN"/>
              </w:rPr>
              <w:t>份</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val="en-US" w:eastAsia="zh-CN"/>
              </w:rPr>
              <w:t>本项可累计，总分15分，未提供不得分。注：同一单位多个合同仅算一次。</w:t>
            </w:r>
          </w:p>
        </w:tc>
        <w:tc>
          <w:tcPr>
            <w:tcW w:w="1800" w:type="dxa"/>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投标人提供合同复印件盖鲜章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62" w:type="dxa"/>
            <w:vMerge w:val="continue"/>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p>
        </w:tc>
        <w:tc>
          <w:tcPr>
            <w:tcW w:w="1655" w:type="dxa"/>
            <w:vMerge w:val="continue"/>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p>
        </w:tc>
        <w:tc>
          <w:tcPr>
            <w:tcW w:w="752" w:type="dxa"/>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w:t>
            </w:r>
          </w:p>
        </w:tc>
        <w:tc>
          <w:tcPr>
            <w:tcW w:w="5910" w:type="dxa"/>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资质能力：</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rPr>
              <w:t>获得AAA级信用企业认证，得1分</w:t>
            </w:r>
            <w:r>
              <w:rPr>
                <w:rFonts w:hint="eastAsia" w:ascii="方正仿宋_GBK" w:hAnsi="方正仿宋_GBK" w:eastAsia="方正仿宋_GBK" w:cs="方正仿宋_GBK"/>
                <w:color w:val="auto"/>
                <w:sz w:val="24"/>
                <w:szCs w:val="24"/>
                <w:highlight w:val="none"/>
                <w:lang w:eastAsia="zh-CN"/>
              </w:rPr>
              <w:t>，未提供不得分</w:t>
            </w:r>
            <w:r>
              <w:rPr>
                <w:rFonts w:hint="eastAsia" w:ascii="方正仿宋_GBK" w:hAnsi="方正仿宋_GBK" w:eastAsia="方正仿宋_GBK" w:cs="方正仿宋_GBK"/>
                <w:color w:val="auto"/>
                <w:sz w:val="24"/>
                <w:szCs w:val="24"/>
                <w:highlight w:val="none"/>
              </w:rPr>
              <w:t>。</w:t>
            </w:r>
          </w:p>
          <w:p>
            <w:pPr>
              <w:spacing w:line="240" w:lineRule="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rPr>
              <w:t>获得ISO20252国家《市场、民意和社会研究——词汇及服务要求》国际质量标准认证</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国家认监委官网可查，且为有效状态</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未提供不得分</w:t>
            </w:r>
            <w:r>
              <w:rPr>
                <w:rFonts w:hint="eastAsia" w:ascii="方正仿宋_GBK" w:hAnsi="方正仿宋_GBK" w:eastAsia="方正仿宋_GBK" w:cs="方正仿宋_GBK"/>
                <w:color w:val="auto"/>
                <w:sz w:val="24"/>
                <w:szCs w:val="24"/>
                <w:highlight w:val="none"/>
                <w:lang w:eastAsia="zh-CN"/>
              </w:rPr>
              <w:t>。</w:t>
            </w:r>
          </w:p>
        </w:tc>
        <w:tc>
          <w:tcPr>
            <w:tcW w:w="1800" w:type="dxa"/>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投标人提供官网查询截图并盖单位鲜章。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762" w:type="dxa"/>
            <w:vMerge w:val="continue"/>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p>
        </w:tc>
        <w:tc>
          <w:tcPr>
            <w:tcW w:w="1655" w:type="dxa"/>
            <w:vMerge w:val="continue"/>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p>
        </w:tc>
        <w:tc>
          <w:tcPr>
            <w:tcW w:w="752" w:type="dxa"/>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分</w:t>
            </w:r>
          </w:p>
        </w:tc>
        <w:tc>
          <w:tcPr>
            <w:tcW w:w="5910" w:type="dxa"/>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团队实力：</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16</w:t>
            </w:r>
            <w:r>
              <w:rPr>
                <w:rFonts w:hint="eastAsia" w:ascii="方正仿宋_GBK" w:hAnsi="方正仿宋_GBK" w:eastAsia="方正仿宋_GBK" w:cs="方正仿宋_GBK"/>
                <w:color w:val="auto"/>
                <w:sz w:val="24"/>
                <w:szCs w:val="24"/>
                <w:highlight w:val="none"/>
              </w:rPr>
              <w:t>分）</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团队成员中</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rPr>
              <w:t>1名</w:t>
            </w:r>
            <w:r>
              <w:rPr>
                <w:rFonts w:hint="eastAsia" w:ascii="方正仿宋_GBK" w:hAnsi="方正仿宋_GBK" w:eastAsia="方正仿宋_GBK" w:cs="方正仿宋_GBK"/>
                <w:color w:val="auto"/>
                <w:sz w:val="24"/>
                <w:szCs w:val="24"/>
                <w:highlight w:val="none"/>
                <w:lang w:val="en-US" w:eastAsia="zh-CN"/>
              </w:rPr>
              <w:t>系统项目管理师</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分，本项最多得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eastAsia="zh-CN"/>
              </w:rPr>
              <w:t>，未提供不得分</w:t>
            </w:r>
            <w:r>
              <w:rPr>
                <w:rFonts w:hint="eastAsia" w:ascii="方正仿宋_GBK" w:hAnsi="方正仿宋_GBK" w:eastAsia="方正仿宋_GBK" w:cs="方正仿宋_GBK"/>
                <w:color w:val="auto"/>
                <w:sz w:val="24"/>
                <w:szCs w:val="24"/>
                <w:highlight w:val="none"/>
              </w:rPr>
              <w:t>。</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团队成员中</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rPr>
              <w:t>1名</w:t>
            </w:r>
            <w:r>
              <w:rPr>
                <w:rFonts w:hint="eastAsia" w:ascii="方正仿宋_GBK" w:hAnsi="方正仿宋_GBK" w:eastAsia="方正仿宋_GBK" w:cs="方正仿宋_GBK"/>
                <w:color w:val="auto"/>
                <w:sz w:val="24"/>
                <w:szCs w:val="24"/>
                <w:highlight w:val="none"/>
                <w:lang w:val="en-US" w:eastAsia="zh-CN"/>
              </w:rPr>
              <w:t>CPPM工程师</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分，本项最多得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eastAsia="zh-CN"/>
              </w:rPr>
              <w:t>，未提供不得分</w:t>
            </w:r>
            <w:r>
              <w:rPr>
                <w:rFonts w:hint="eastAsia" w:ascii="方正仿宋_GBK" w:hAnsi="方正仿宋_GBK" w:eastAsia="方正仿宋_GBK" w:cs="方正仿宋_GBK"/>
                <w:color w:val="auto"/>
                <w:sz w:val="24"/>
                <w:szCs w:val="24"/>
                <w:highlight w:val="none"/>
              </w:rPr>
              <w:t>。</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3.实施团队</w:t>
            </w:r>
            <w:r>
              <w:rPr>
                <w:rFonts w:hint="eastAsia" w:ascii="方正仿宋_GBK" w:hAnsi="方正仿宋_GBK" w:eastAsia="方正仿宋_GBK" w:cs="方正仿宋_GBK"/>
                <w:color w:val="auto"/>
                <w:sz w:val="24"/>
                <w:szCs w:val="24"/>
                <w:highlight w:val="none"/>
              </w:rPr>
              <w:t>成员</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lang w:val="en-US" w:eastAsia="zh-CN"/>
              </w:rPr>
              <w:t>提供1名律师资格证书的得1分，本项最多得2分，需提供该律师所在事务所执业许可证，未提供不得分。</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4.实施团队成员中</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lang w:val="en-US" w:eastAsia="zh-CN"/>
              </w:rPr>
              <w:t>每提供1名数据统计分析师中级证书的得1分，高级统计师得3分，本小项满分3分，未提供不得分。</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实施团队成员中</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每</w:t>
            </w:r>
            <w:r>
              <w:rPr>
                <w:rFonts w:hint="eastAsia" w:ascii="方正仿宋_GBK" w:hAnsi="方正仿宋_GBK" w:eastAsia="方正仿宋_GBK" w:cs="方正仿宋_GBK"/>
                <w:color w:val="auto"/>
                <w:sz w:val="24"/>
                <w:szCs w:val="24"/>
                <w:highlight w:val="none"/>
                <w:lang w:val="en-US" w:eastAsia="zh-CN"/>
              </w:rPr>
              <w:t>提供</w:t>
            </w:r>
            <w:r>
              <w:rPr>
                <w:rFonts w:hint="eastAsia" w:ascii="方正仿宋_GBK" w:hAnsi="方正仿宋_GBK" w:eastAsia="方正仿宋_GBK" w:cs="方正仿宋_GBK"/>
                <w:color w:val="auto"/>
                <w:sz w:val="24"/>
                <w:szCs w:val="24"/>
                <w:highlight w:val="none"/>
              </w:rPr>
              <w:t>1名</w:t>
            </w:r>
            <w:r>
              <w:rPr>
                <w:rFonts w:hint="eastAsia" w:ascii="方正仿宋_GBK" w:hAnsi="方正仿宋_GBK" w:eastAsia="方正仿宋_GBK" w:cs="方正仿宋_GBK"/>
                <w:color w:val="auto"/>
                <w:sz w:val="24"/>
                <w:szCs w:val="24"/>
                <w:highlight w:val="none"/>
                <w:lang w:val="en-US" w:eastAsia="zh-CN"/>
              </w:rPr>
              <w:t>副高级职称及以上职称</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分，本项最多得</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color w:val="auto"/>
                <w:sz w:val="24"/>
                <w:szCs w:val="24"/>
                <w:highlight w:val="none"/>
                <w:lang w:eastAsia="zh-CN"/>
              </w:rPr>
              <w:t>，未提供不得分</w:t>
            </w:r>
            <w:r>
              <w:rPr>
                <w:rFonts w:hint="eastAsia" w:ascii="方正仿宋_GBK" w:hAnsi="方正仿宋_GBK" w:eastAsia="方正仿宋_GBK" w:cs="方正仿宋_GBK"/>
                <w:color w:val="auto"/>
                <w:sz w:val="24"/>
                <w:szCs w:val="24"/>
                <w:highlight w:val="none"/>
              </w:rPr>
              <w:t>。</w:t>
            </w:r>
          </w:p>
        </w:tc>
        <w:tc>
          <w:tcPr>
            <w:tcW w:w="1800" w:type="dxa"/>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1.人员不重复计分。</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提供</w:t>
            </w:r>
            <w:r>
              <w:rPr>
                <w:rFonts w:hint="eastAsia" w:ascii="方正仿宋_GBK" w:hAnsi="方正仿宋_GBK" w:eastAsia="方正仿宋_GBK" w:cs="方正仿宋_GBK"/>
                <w:color w:val="auto"/>
                <w:sz w:val="24"/>
                <w:szCs w:val="24"/>
                <w:highlight w:val="none"/>
                <w:lang w:val="en-US" w:eastAsia="zh-CN"/>
              </w:rPr>
              <w:t>官方认证的证书</w:t>
            </w:r>
            <w:r>
              <w:rPr>
                <w:rFonts w:hint="eastAsia" w:ascii="方正仿宋_GBK" w:hAnsi="方正仿宋_GBK" w:eastAsia="方正仿宋_GBK" w:cs="方正仿宋_GBK"/>
                <w:color w:val="auto"/>
                <w:sz w:val="24"/>
                <w:szCs w:val="24"/>
                <w:highlight w:val="none"/>
              </w:rPr>
              <w:t>复印件并加盖</w:t>
            </w: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762" w:type="dxa"/>
            <w:vMerge w:val="continue"/>
            <w:shd w:val="clear" w:color="auto" w:fill="FEFEFE"/>
            <w:noWrap w:val="0"/>
            <w:vAlign w:val="center"/>
          </w:tcPr>
          <w:p>
            <w:pPr>
              <w:spacing w:line="240" w:lineRule="auto"/>
              <w:ind w:firstLine="28"/>
              <w:jc w:val="center"/>
              <w:rPr>
                <w:rFonts w:hint="eastAsia" w:ascii="方正仿宋_GBK" w:hAnsi="方正仿宋_GBK" w:eastAsia="方正仿宋_GBK" w:cs="方正仿宋_GBK"/>
                <w:color w:val="auto"/>
                <w:sz w:val="24"/>
                <w:szCs w:val="24"/>
                <w:highlight w:val="none"/>
              </w:rPr>
            </w:pPr>
          </w:p>
        </w:tc>
        <w:tc>
          <w:tcPr>
            <w:tcW w:w="1655" w:type="dxa"/>
            <w:vMerge w:val="continue"/>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p>
        </w:tc>
        <w:tc>
          <w:tcPr>
            <w:tcW w:w="752" w:type="dxa"/>
            <w:shd w:val="clear" w:color="auto" w:fill="FEFEFE"/>
            <w:noWrap w:val="0"/>
            <w:vAlign w:val="center"/>
          </w:tcPr>
          <w:p>
            <w:pPr>
              <w:spacing w:line="240" w:lineRule="auto"/>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分</w:t>
            </w:r>
          </w:p>
        </w:tc>
        <w:tc>
          <w:tcPr>
            <w:tcW w:w="5910" w:type="dxa"/>
            <w:shd w:val="clear" w:color="auto" w:fill="FEFEFE"/>
            <w:noWrap w:val="0"/>
            <w:vAlign w:val="center"/>
          </w:tcPr>
          <w:p>
            <w:pPr>
              <w:pStyle w:val="90"/>
              <w:numPr>
                <w:ilvl w:val="0"/>
                <w:numId w:val="0"/>
              </w:numPr>
              <w:spacing w:line="240" w:lineRule="auto"/>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售后服务响应（3分）</w:t>
            </w:r>
          </w:p>
          <w:p>
            <w:pPr>
              <w:pStyle w:val="90"/>
              <w:numPr>
                <w:ilvl w:val="0"/>
                <w:numId w:val="0"/>
              </w:numPr>
              <w:spacing w:line="240" w:lineRule="auto"/>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1.采购方对服务内容开展、数据采集抽查、数据分析报告、数据解释、数据售后等需求，投标人在2小时内到达采购方现场响应</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分。</w:t>
            </w:r>
          </w:p>
          <w:p>
            <w:pPr>
              <w:pStyle w:val="90"/>
              <w:numPr>
                <w:ilvl w:val="0"/>
                <w:numId w:val="0"/>
              </w:numPr>
              <w:spacing w:line="240" w:lineRule="auto"/>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2.采购方对服务内容开展、数据采集抽查、数据分析报告、数据解释、数据售后等需求，投标人24小时内到达采购方现场响应</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分。</w:t>
            </w:r>
          </w:p>
          <w:p>
            <w:pPr>
              <w:pStyle w:val="90"/>
              <w:numPr>
                <w:ilvl w:val="0"/>
                <w:numId w:val="0"/>
              </w:numPr>
              <w:spacing w:line="240" w:lineRule="auto"/>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3.采购方对服务内容开展、数据采集抽查、数据分析报告、数据解释、数据售后等需求，投标人48小时内到达采购方现场响应</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分。</w:t>
            </w:r>
          </w:p>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其他情况</w:t>
            </w:r>
            <w:r>
              <w:rPr>
                <w:rFonts w:hint="eastAsia" w:ascii="方正仿宋_GBK" w:hAnsi="方正仿宋_GBK" w:eastAsia="方正仿宋_GBK" w:cs="方正仿宋_GBK"/>
                <w:color w:val="auto"/>
                <w:sz w:val="24"/>
                <w:szCs w:val="24"/>
                <w:highlight w:val="none"/>
                <w:lang w:val="en-US" w:eastAsia="zh-CN"/>
              </w:rPr>
              <w:t>或未提供</w:t>
            </w:r>
            <w:r>
              <w:rPr>
                <w:rFonts w:hint="eastAsia" w:ascii="方正仿宋_GBK" w:hAnsi="方正仿宋_GBK" w:eastAsia="方正仿宋_GBK" w:cs="方正仿宋_GBK"/>
                <w:color w:val="auto"/>
                <w:sz w:val="24"/>
                <w:szCs w:val="24"/>
                <w:highlight w:val="none"/>
              </w:rPr>
              <w:t>，得</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分。</w:t>
            </w:r>
          </w:p>
        </w:tc>
        <w:tc>
          <w:tcPr>
            <w:tcW w:w="1800" w:type="dxa"/>
            <w:shd w:val="clear" w:color="auto" w:fill="FEFEFE"/>
            <w:noWrap w:val="0"/>
            <w:vAlign w:val="center"/>
          </w:tcPr>
          <w:p>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投标人</w:t>
            </w:r>
            <w:r>
              <w:rPr>
                <w:rFonts w:hint="eastAsia" w:ascii="方正仿宋_GBK" w:hAnsi="方正仿宋_GBK" w:eastAsia="方正仿宋_GBK" w:cs="方正仿宋_GBK"/>
                <w:color w:val="auto"/>
                <w:sz w:val="24"/>
                <w:szCs w:val="24"/>
                <w:highlight w:val="none"/>
              </w:rPr>
              <w:t>提供承诺函</w:t>
            </w:r>
            <w:r>
              <w:rPr>
                <w:rFonts w:hint="eastAsia" w:ascii="方正仿宋_GBK" w:hAnsi="方正仿宋_GBK" w:eastAsia="方正仿宋_GBK" w:cs="方正仿宋_GBK"/>
                <w:color w:val="auto"/>
                <w:sz w:val="24"/>
                <w:szCs w:val="24"/>
                <w:highlight w:val="none"/>
                <w:lang w:val="en-US" w:eastAsia="zh-CN"/>
              </w:rPr>
              <w:t>和相关证明</w:t>
            </w:r>
            <w:r>
              <w:rPr>
                <w:rFonts w:hint="eastAsia" w:ascii="方正仿宋_GBK" w:hAnsi="方正仿宋_GBK" w:eastAsia="方正仿宋_GBK" w:cs="方正仿宋_GBK"/>
                <w:color w:val="auto"/>
                <w:sz w:val="24"/>
                <w:szCs w:val="24"/>
                <w:highlight w:val="none"/>
              </w:rPr>
              <w:t>，承诺内容须完整，格式自拟。</w:t>
            </w:r>
          </w:p>
        </w:tc>
      </w:tr>
    </w:tbl>
    <w:p>
      <w:pPr>
        <w:snapToGrid w:val="0"/>
        <w:spacing w:line="38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根据项目报价与该项目权重分值，各项得分之和为总得分。总得分最高的供应商确定为成交供应商。若得分相同的供应商有两个及以上相同，则随机抽取确定成交供应商。</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说明：</w:t>
      </w:r>
    </w:p>
    <w:p>
      <w:pPr>
        <w:numPr>
          <w:ilvl w:val="0"/>
          <w:numId w:val="0"/>
        </w:numPr>
        <w:snapToGrid w:val="0"/>
        <w:spacing w:line="400" w:lineRule="exact"/>
        <w:ind w:firstLine="480" w:firstLineChars="200"/>
        <w:rPr>
          <w:rFonts w:hint="eastAsia" w:eastAsia="方正仿宋_GBK"/>
          <w:b/>
          <w:color w:val="auto"/>
          <w:szCs w:val="28"/>
        </w:rPr>
      </w:pPr>
      <w:r>
        <w:rPr>
          <w:rFonts w:hint="eastAsia" w:ascii="方正仿宋_GBK" w:hAnsi="宋体" w:eastAsia="方正仿宋_GBK"/>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Arial" w:hAnsi="Arial" w:eastAsia="方正仿宋_GBK"/>
          <w:b/>
          <w:color w:val="auto"/>
          <w:sz w:val="32"/>
          <w:szCs w:val="28"/>
        </w:rPr>
        <w:t xml:space="preserve">                                                                                                                                                  </w:t>
      </w:r>
      <w:r>
        <w:rPr>
          <w:rFonts w:hint="eastAsia" w:ascii="方正仿宋_GBK" w:hAnsi="宋体" w:eastAsia="方正仿宋_GBK"/>
          <w:color w:val="auto"/>
          <w:sz w:val="24"/>
          <w:szCs w:val="24"/>
        </w:rPr>
        <w:t xml:space="preserve">    </w:t>
      </w:r>
      <w:r>
        <w:rPr>
          <w:rFonts w:hint="eastAsia" w:eastAsia="方正仿宋_GBK"/>
          <w:b/>
          <w:color w:val="auto"/>
          <w:szCs w:val="28"/>
        </w:rPr>
        <w:t xml:space="preserve">                                                                                                                                                             </w:t>
      </w:r>
      <w:bookmarkStart w:id="35" w:name="_Toc16683575"/>
      <w:bookmarkStart w:id="36" w:name="_Toc18481"/>
      <w:bookmarkStart w:id="37" w:name="_Toc54095831"/>
    </w:p>
    <w:p>
      <w:pPr>
        <w:numPr>
          <w:ilvl w:val="0"/>
          <w:numId w:val="13"/>
        </w:numPr>
        <w:snapToGrid w:val="0"/>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无效响应</w:t>
      </w:r>
      <w:bookmarkEnd w:id="35"/>
      <w:bookmarkEnd w:id="36"/>
      <w:bookmarkEnd w:id="37"/>
    </w:p>
    <w:p>
      <w:pPr>
        <w:snapToGrid w:val="0"/>
        <w:spacing w:line="380" w:lineRule="exact"/>
        <w:ind w:firstLine="240" w:firstLineChars="1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供应商发生以下条款情况之一者，视为无效响应，其响应文件将被拒绝：</w:t>
      </w:r>
    </w:p>
    <w:p>
      <w:pPr>
        <w:snapToGrid w:val="0"/>
        <w:spacing w:line="380" w:lineRule="exact"/>
        <w:ind w:firstLine="240" w:firstLineChars="1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一</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供应商不符合规定的基本资格条件或特定资格条件的；</w:t>
      </w:r>
    </w:p>
    <w:p>
      <w:pPr>
        <w:snapToGrid w:val="0"/>
        <w:spacing w:line="380" w:lineRule="exact"/>
        <w:ind w:firstLine="240" w:firstLineChars="1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二</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供应商的法定代表人或其授权代表未参加磋商；</w:t>
      </w:r>
    </w:p>
    <w:p>
      <w:pPr>
        <w:snapToGrid w:val="0"/>
        <w:spacing w:line="380" w:lineRule="exact"/>
        <w:ind w:firstLine="240" w:firstLineChars="1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三</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供应商所提交的响应文件不按第七篇“响应文件编制要求”规定签字、盖章；</w:t>
      </w:r>
    </w:p>
    <w:p>
      <w:pPr>
        <w:snapToGrid w:val="0"/>
        <w:spacing w:line="380" w:lineRule="exact"/>
        <w:ind w:firstLine="240" w:firstLineChars="1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四</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供应商的最后报价超过采购预算的；</w:t>
      </w:r>
    </w:p>
    <w:p>
      <w:pPr>
        <w:snapToGrid w:val="0"/>
        <w:spacing w:line="380" w:lineRule="exact"/>
        <w:ind w:firstLine="240" w:firstLineChars="1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五</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法定代表人为同一个人的两个及两个以上法人，母公司、全资子公司及其控股公司，同时参与磋商；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（六）单位负责人为同一人或者存在直接控股、管理关系的不同供应商，同时参与磋商；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（七）为采购项目提供整体设计、规范编制或者项目管理、监理、检测等服务的供应商，再参加该采购项目的其他采购活动；</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（八）供应商的服务期、质量保证期及磋商有效期不满足竞争性磋商文件要求的；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（九）供应商响应文件内容有与国家现行法律法规相违背的内容，或附有采购人无法接受的条件；</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（十）供应商以联合体形式参与的；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（十一）供应商被列入失信被执行人、重大税收违法案件当事人名单、政府采购严重违法失信行为记录名单及其他不符合《中华人民共和国政府采购法》第二十二条规定条件的。</w:t>
      </w:r>
    </w:p>
    <w:p>
      <w:pPr>
        <w:pStyle w:val="4"/>
        <w:spacing w:before="0" w:after="0" w:line="400" w:lineRule="exact"/>
        <w:rPr>
          <w:rFonts w:hint="eastAsia" w:ascii="方正仿宋_GBK" w:hAnsi="方正仿宋_GBK" w:eastAsia="方正仿宋_GBK" w:cs="方正仿宋_GBK"/>
          <w:color w:val="auto"/>
          <w:sz w:val="24"/>
          <w:szCs w:val="24"/>
        </w:rPr>
      </w:pPr>
      <w:bookmarkStart w:id="38" w:name="_Toc5439"/>
      <w:bookmarkStart w:id="39" w:name="_Toc54095832"/>
      <w:bookmarkStart w:id="40" w:name="_Toc16683576"/>
      <w:r>
        <w:rPr>
          <w:rFonts w:hint="eastAsia" w:ascii="方正仿宋_GBK" w:hAnsi="方正仿宋_GBK" w:eastAsia="方正仿宋_GBK" w:cs="方正仿宋_GBK"/>
          <w:color w:val="auto"/>
          <w:sz w:val="24"/>
          <w:szCs w:val="24"/>
        </w:rPr>
        <w:t>四、</w:t>
      </w:r>
      <w:bookmarkEnd w:id="33"/>
      <w:bookmarkEnd w:id="34"/>
      <w:r>
        <w:rPr>
          <w:rFonts w:hint="eastAsia" w:ascii="方正仿宋_GBK" w:hAnsi="方正仿宋_GBK" w:eastAsia="方正仿宋_GBK" w:cs="方正仿宋_GBK"/>
          <w:color w:val="auto"/>
          <w:sz w:val="24"/>
          <w:szCs w:val="24"/>
        </w:rPr>
        <w:t>采购终止</w:t>
      </w:r>
      <w:bookmarkEnd w:id="38"/>
      <w:bookmarkEnd w:id="39"/>
      <w:bookmarkEnd w:id="40"/>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出现下列情形之一的，采购人终止竞争性磋商采购活动，发布项目终止公告并说明原因，重新开展采购活动：</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（一）因情况变化，不再符合规定的竞争性磋商采购方式适用情形的；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napToGrid w:val="0"/>
        <w:spacing w:line="380" w:lineRule="exact"/>
        <w:ind w:firstLine="240" w:firstLineChars="1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pPr>
        <w:snapToGrid w:val="0"/>
        <w:spacing w:line="380" w:lineRule="exact"/>
        <w:ind w:firstLine="240" w:firstLineChars="100"/>
        <w:rPr>
          <w:rFonts w:hint="eastAsia" w:ascii="方正仿宋_GBK" w:hAnsi="宋体" w:eastAsia="方正仿宋_GBK"/>
          <w:color w:val="auto"/>
          <w:sz w:val="24"/>
          <w:szCs w:val="24"/>
          <w:highlight w:val="none"/>
        </w:rPr>
        <w:sectPr>
          <w:headerReference r:id="rId6" w:type="default"/>
          <w:footerReference r:id="rId7" w:type="default"/>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p>
    <w:p>
      <w:pPr>
        <w:pStyle w:val="3"/>
        <w:jc w:val="center"/>
        <w:rPr>
          <w:rFonts w:hint="eastAsia" w:ascii="方正小标宋_GBK" w:hAnsi="方正小标宋_GBK" w:eastAsia="方正小标宋_GBK" w:cs="方正小标宋_GBK"/>
          <w:color w:val="auto"/>
          <w:sz w:val="36"/>
          <w:szCs w:val="36"/>
        </w:rPr>
      </w:pPr>
      <w:bookmarkStart w:id="41" w:name="_Toc13207"/>
      <w:bookmarkStart w:id="42" w:name="_Toc102227313"/>
      <w:r>
        <w:rPr>
          <w:rFonts w:hint="eastAsia" w:ascii="方正小标宋_GBK" w:hAnsi="方正小标宋_GBK" w:eastAsia="方正小标宋_GBK" w:cs="方正小标宋_GBK"/>
          <w:color w:val="auto"/>
          <w:sz w:val="36"/>
          <w:szCs w:val="36"/>
        </w:rPr>
        <w:t>第五篇  供应商须知</w:t>
      </w:r>
      <w:bookmarkEnd w:id="41"/>
      <w:bookmarkEnd w:id="42"/>
    </w:p>
    <w:p>
      <w:pPr>
        <w:pStyle w:val="4"/>
        <w:spacing w:before="0" w:after="0" w:line="400" w:lineRule="exact"/>
        <w:rPr>
          <w:rFonts w:hint="eastAsia" w:ascii="方正仿宋_GBK" w:hAnsi="方正仿宋_GBK" w:eastAsia="方正仿宋_GBK" w:cs="方正仿宋_GBK"/>
          <w:color w:val="auto"/>
          <w:sz w:val="24"/>
          <w:szCs w:val="24"/>
        </w:rPr>
      </w:pPr>
      <w:bookmarkStart w:id="43" w:name="_Toc342913389"/>
      <w:bookmarkStart w:id="44" w:name="_Toc15159"/>
      <w:bookmarkStart w:id="45" w:name="_Toc16683578"/>
      <w:bookmarkStart w:id="46" w:name="_Toc11641055"/>
      <w:bookmarkStart w:id="47" w:name="_Toc12789059"/>
      <w:r>
        <w:rPr>
          <w:rFonts w:hint="eastAsia" w:ascii="方正仿宋_GBK" w:hAnsi="方正仿宋_GBK" w:eastAsia="方正仿宋_GBK" w:cs="方正仿宋_GBK"/>
          <w:color w:val="auto"/>
          <w:sz w:val="24"/>
          <w:szCs w:val="24"/>
        </w:rPr>
        <w:t>一、磋商费用</w:t>
      </w:r>
      <w:bookmarkEnd w:id="43"/>
      <w:bookmarkEnd w:id="44"/>
      <w:bookmarkEnd w:id="45"/>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参与磋商的供应商应承担其编制响应文件与递交响应文件所涉及的一切费用，不论磋商结果如何，采购人在任何情况下无义务也无责任承担这些费用。</w:t>
      </w:r>
    </w:p>
    <w:p>
      <w:pPr>
        <w:pStyle w:val="4"/>
        <w:spacing w:before="0" w:after="0" w:line="400" w:lineRule="exact"/>
        <w:rPr>
          <w:rFonts w:hint="eastAsia" w:ascii="方正仿宋_GBK" w:hAnsi="方正仿宋_GBK" w:eastAsia="方正仿宋_GBK" w:cs="方正仿宋_GBK"/>
          <w:color w:val="auto"/>
          <w:sz w:val="24"/>
          <w:szCs w:val="24"/>
        </w:rPr>
      </w:pPr>
      <w:bookmarkStart w:id="48" w:name="_Toc25297"/>
      <w:bookmarkStart w:id="49" w:name="_Toc16683579"/>
      <w:bookmarkStart w:id="50" w:name="_Toc342913391"/>
      <w:r>
        <w:rPr>
          <w:rFonts w:hint="eastAsia" w:ascii="方正仿宋_GBK" w:hAnsi="方正仿宋_GBK" w:eastAsia="方正仿宋_GBK" w:cs="方正仿宋_GBK"/>
          <w:color w:val="auto"/>
          <w:sz w:val="24"/>
          <w:szCs w:val="24"/>
        </w:rPr>
        <w:t>二、竞争性磋商文件</w:t>
      </w:r>
      <w:bookmarkEnd w:id="48"/>
      <w:bookmarkEnd w:id="49"/>
      <w:bookmarkEnd w:id="50"/>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（一）竞争性磋商文件由采购邀请书、采购技术需求、采购商务需求、资格审查及评标办法、供应商须知、采购合同主要条款（样本）、响应文件编制要求七部分组成。</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（二）采购人所作的一切有效的书面通知、修改及补充，都是竞争性磋商文件不可分割的部分。</w:t>
      </w:r>
      <w:bookmarkStart w:id="51" w:name="_Toc318166429"/>
      <w:bookmarkStart w:id="52" w:name="_Toc318159780"/>
      <w:bookmarkStart w:id="53" w:name="_Toc318159349"/>
      <w:bookmarkStart w:id="54" w:name="_Toc318159160"/>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（三）本竞争性磋商文件中，磋商小组根据与供应商进行磋商可能实质性变动的内容为竞争性磋商文件三、四、五篇全部内容。</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（四）评审的依据为竞争性磋商文件和响应文件（含有效的书面承诺）。磋商小组判断响应文件对竞争性磋商文件的响应，仅基于响应文件本身而不靠外部证据。</w:t>
      </w:r>
    </w:p>
    <w:bookmarkEnd w:id="51"/>
    <w:bookmarkEnd w:id="52"/>
    <w:bookmarkEnd w:id="53"/>
    <w:bookmarkEnd w:id="54"/>
    <w:p>
      <w:pPr>
        <w:pStyle w:val="4"/>
        <w:spacing w:before="0" w:after="0" w:line="400" w:lineRule="exact"/>
        <w:rPr>
          <w:rFonts w:hint="eastAsia" w:ascii="方正仿宋_GBK" w:hAnsi="方正仿宋_GBK" w:eastAsia="方正仿宋_GBK" w:cs="方正仿宋_GBK"/>
          <w:color w:val="auto"/>
          <w:sz w:val="24"/>
          <w:szCs w:val="24"/>
        </w:rPr>
      </w:pPr>
      <w:bookmarkStart w:id="55" w:name="_Toc15682"/>
      <w:bookmarkStart w:id="56" w:name="_Toc16683580"/>
      <w:bookmarkStart w:id="57" w:name="_Toc179714297"/>
      <w:bookmarkStart w:id="58" w:name="_Toc342913392"/>
      <w:bookmarkStart w:id="59" w:name="_Toc102227318"/>
      <w:r>
        <w:rPr>
          <w:rFonts w:hint="eastAsia" w:ascii="方正仿宋_GBK" w:hAnsi="方正仿宋_GBK" w:eastAsia="方正仿宋_GBK" w:cs="方正仿宋_GBK"/>
          <w:color w:val="auto"/>
          <w:sz w:val="24"/>
          <w:szCs w:val="24"/>
        </w:rPr>
        <w:t>三、磋商要求</w:t>
      </w:r>
      <w:bookmarkEnd w:id="55"/>
      <w:bookmarkEnd w:id="56"/>
      <w:bookmarkEnd w:id="57"/>
      <w:bookmarkEnd w:id="58"/>
      <w:bookmarkEnd w:id="59"/>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1.供应商应当按照竞争性磋商文件的要求编制响应文件，并对竞争性磋商文件提出的要求和条件作出实质性响应，响应文件原则上采用软面订本，同时应编制完整的页码、目录。</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2.响应文件组成</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编制要求”规定的部分和供应商所作的一切有效补充、修改和承诺等文件组成，供应商应按照“响应文件编制要求”规定的目录顺序组织编写和装订，也可在基本格式基础上对表格进行扩展，未规定格式的由供应商自定格式。</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（二）磋商有效期：响应文件及有关承诺文件有效期为提交响应文件截止时间起90天。</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1.若供应商所递交的响应文件或最后报价中的价格出现大写金额和小写金额不一致的错误，以大写金额修正为准；总报价与分项报价不一致的，以分项报价计算的总价为准。</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1.响应文件一式两份，其中正本一份，副本一份，副本可为正本的复印件，应与正本一致，如出现不一致情况以正本为准。</w:t>
      </w:r>
    </w:p>
    <w:p>
      <w:pPr>
        <w:snapToGrid w:val="0"/>
        <w:spacing w:line="380" w:lineRule="exact"/>
        <w:ind w:firstLine="360" w:firstLineChars="150"/>
        <w:rPr>
          <w:rFonts w:hint="eastAsia" w:ascii="方正仿宋_GBK" w:hAnsi="宋体" w:eastAsia="方正仿宋_GBK"/>
          <w:b/>
          <w:bCs/>
          <w:color w:val="auto"/>
          <w:sz w:val="24"/>
          <w:szCs w:val="24"/>
        </w:rPr>
      </w:pPr>
      <w:r>
        <w:rPr>
          <w:rFonts w:hint="eastAsia" w:ascii="方正仿宋_GBK" w:hAnsi="宋体" w:eastAsia="方正仿宋_GBK"/>
          <w:color w:val="auto"/>
          <w:sz w:val="24"/>
          <w:szCs w:val="24"/>
        </w:rPr>
        <w:t>2.在响应文件正本中，竞争性磋商文件响应文件编制要求中规定签字、盖章的地方必须按其规定签字、盖章</w:t>
      </w:r>
      <w:r>
        <w:rPr>
          <w:rFonts w:hint="eastAsia" w:ascii="方正仿宋_GBK" w:hAnsi="宋体" w:eastAsia="方正仿宋_GBK"/>
          <w:b/>
          <w:bCs/>
          <w:color w:val="auto"/>
          <w:sz w:val="24"/>
          <w:szCs w:val="24"/>
        </w:rPr>
        <w:t>。</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（五）响应文件的递交</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1.响应文件的密封与标记</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（1）响应文件的正本、副本均应密封送达递交响应文件地点，应在封套上注明项目名称、供应商名称。若正本、副本分别进行密封的，还应在封套上注明“正本”、“副本”字样。。</w:t>
      </w:r>
    </w:p>
    <w:p>
      <w:pPr>
        <w:snapToGrid w:val="0"/>
        <w:spacing w:line="380" w:lineRule="exact"/>
        <w:ind w:firstLine="240" w:firstLineChars="100"/>
        <w:rPr>
          <w:rFonts w:ascii="方正仿宋_GBK" w:hAnsi="宋体" w:eastAsia="方正仿宋_GBK"/>
          <w:color w:val="auto"/>
          <w:sz w:val="24"/>
          <w:szCs w:val="24"/>
        </w:rPr>
      </w:pPr>
      <w:r>
        <w:rPr>
          <w:rFonts w:hint="eastAsia" w:ascii="方正仿宋_GBK" w:hAnsi="宋体" w:eastAsia="方正仿宋_GBK"/>
          <w:color w:val="auto"/>
          <w:sz w:val="24"/>
          <w:szCs w:val="24"/>
        </w:rPr>
        <w:t>（2）响应文件的正本、副本均采用信封分别密封。信封上注明项目名称、供应商名称、“正本”、“副本”字样。信封的封口应加盖供应商公章或法人授权代表签字.</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（3）封套的封口处应加盖供应商公章或由法定代表人授权代表签字。</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（4）如果未按上述规定进行密封和标记，采购人对响应文件误投、丢失或提前拆封不负责任。</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（六）响应文件语言：简体中文</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（七）供应商参与人员</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各个供应商应当派1名代表参与磋商，为法定代表人或具有法定代表人授权委托书的授权代表。</w:t>
      </w:r>
    </w:p>
    <w:p>
      <w:pPr>
        <w:pStyle w:val="4"/>
        <w:spacing w:before="0" w:after="0" w:line="400" w:lineRule="exact"/>
        <w:rPr>
          <w:rFonts w:hint="eastAsia" w:ascii="方正仿宋_GBK" w:hAnsi="方正仿宋_GBK" w:eastAsia="方正仿宋_GBK" w:cs="方正仿宋_GBK"/>
          <w:color w:val="auto"/>
          <w:sz w:val="24"/>
          <w:szCs w:val="24"/>
        </w:rPr>
      </w:pPr>
      <w:bookmarkStart w:id="60" w:name="_Toc16683581"/>
      <w:bookmarkStart w:id="61" w:name="_Toc21540"/>
      <w:r>
        <w:rPr>
          <w:rFonts w:hint="eastAsia" w:ascii="方正仿宋_GBK" w:hAnsi="方正仿宋_GBK" w:eastAsia="方正仿宋_GBK" w:cs="方正仿宋_GBK"/>
          <w:color w:val="auto"/>
          <w:sz w:val="24"/>
          <w:szCs w:val="24"/>
        </w:rPr>
        <w:t>四、成交供应商的确认和变更</w:t>
      </w:r>
      <w:bookmarkEnd w:id="60"/>
      <w:bookmarkEnd w:id="61"/>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（一）成交供应商的确认</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该项目经综合评审，按照得分排序由高到低的原则确定成交供应商，采购人应当在评审结束后2个工作日内公示采购结果。</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1.若成交供应商因不可抗力或者自身原因不能履行合同的，采购人可以确定排名其后一位的成交候选人为成交供应商，也可以重新开展采购活动。</w:t>
      </w:r>
    </w:p>
    <w:p>
      <w:pPr>
        <w:snapToGrid w:val="0"/>
        <w:spacing w:line="38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2成交供应商无充分理由放弃成交的，按其他相关规定进行处理。</w:t>
      </w:r>
    </w:p>
    <w:p>
      <w:pPr>
        <w:pStyle w:val="4"/>
        <w:spacing w:before="0" w:after="0" w:line="400" w:lineRule="exact"/>
        <w:rPr>
          <w:rFonts w:hint="eastAsia" w:ascii="方正仿宋_GBK" w:hAnsi="方正仿宋_GBK" w:eastAsia="方正仿宋_GBK" w:cs="方正仿宋_GBK"/>
          <w:color w:val="auto"/>
          <w:sz w:val="24"/>
          <w:szCs w:val="24"/>
        </w:rPr>
      </w:pPr>
      <w:bookmarkStart w:id="62" w:name="_Toc16683583"/>
      <w:bookmarkStart w:id="63" w:name="_Toc3850"/>
      <w:r>
        <w:rPr>
          <w:rFonts w:hint="eastAsia" w:ascii="方正仿宋_GBK" w:hAnsi="方正仿宋_GBK" w:eastAsia="方正仿宋_GBK" w:cs="方正仿宋_GBK"/>
          <w:color w:val="auto"/>
          <w:sz w:val="24"/>
          <w:szCs w:val="24"/>
        </w:rPr>
        <w:t>五、成交通知</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（一）成交供应商确定后，将在重庆市第七人民医院官网上发布成交结果公告。</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（二）结果公告发出同时，采购人将以书面形式发出《成交通知书》。《成交通知书》一经发出即发生法律效力。</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pPr>
        <w:snapToGrid w:val="0"/>
        <w:spacing w:line="380" w:lineRule="exact"/>
        <w:ind w:firstLine="240" w:firstLineChars="100"/>
        <w:rPr>
          <w:rFonts w:ascii="方正仿宋_GBK" w:hAnsi="宋体" w:eastAsia="方正仿宋_GBK"/>
          <w:color w:val="auto"/>
          <w:sz w:val="24"/>
          <w:szCs w:val="24"/>
        </w:rPr>
      </w:pPr>
      <w:r>
        <w:rPr>
          <w:rFonts w:hint="eastAsia" w:ascii="方正仿宋_GBK" w:hAnsi="宋体" w:eastAsia="方正仿宋_GBK"/>
          <w:color w:val="auto"/>
          <w:sz w:val="24"/>
          <w:szCs w:val="24"/>
        </w:rPr>
        <w:t>（四）如有供应商对成交结果提出质疑的，在质疑处理完毕后发出成交通知书。</w:t>
      </w:r>
    </w:p>
    <w:p>
      <w:pPr>
        <w:pStyle w:val="4"/>
        <w:spacing w:before="0" w:after="0"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六、关于质疑和投诉</w:t>
      </w:r>
      <w:bookmarkEnd w:id="62"/>
      <w:bookmarkEnd w:id="63"/>
    </w:p>
    <w:p>
      <w:pPr>
        <w:snapToGrid w:val="0"/>
        <w:spacing w:line="380" w:lineRule="exact"/>
        <w:ind w:firstLine="240" w:firstLineChars="100"/>
        <w:rPr>
          <w:rFonts w:hint="eastAsia" w:ascii="方正仿宋_GBK" w:hAnsi="宋体" w:eastAsia="方正仿宋_GBK"/>
          <w:color w:val="auto"/>
          <w:sz w:val="24"/>
          <w:szCs w:val="24"/>
        </w:rPr>
      </w:pPr>
      <w:bookmarkStart w:id="64" w:name="_Toc102227322"/>
      <w:bookmarkStart w:id="65" w:name="_Toc54095843"/>
      <w:bookmarkStart w:id="66" w:name="_Toc342913396"/>
      <w:bookmarkStart w:id="67" w:name="_Toc16683587"/>
      <w:r>
        <w:rPr>
          <w:rFonts w:hint="eastAsia" w:ascii="方正仿宋_GBK" w:hAnsi="宋体" w:eastAsia="方正仿宋_GBK"/>
          <w:color w:val="auto"/>
          <w:sz w:val="24"/>
          <w:szCs w:val="24"/>
        </w:rPr>
        <w:t>（一）质疑内容、时限</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1.供应商对成交结果有异议的，应当在结果公告期限届满之日起七个工作日内以书面形式向采购人提出质疑，并附相关证明材料。</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2.供应商对竞争性磋商文件中供应商特定资格条件、技术质量和商务要求、评审标准及评审细则有异议的，应主要向采购人提出质疑，其他问题可向采购人提出质疑。</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（二）质疑答复</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采购人在收到供应商书面质疑后七个工作日内，对质疑内容作出答复。</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（三）不予受理或暂缓受理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1.质疑有下列情形之一的，不予受理：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（1）质疑供应商参与了磋商活动后，再对竞争性磋商文件内容提出质疑的；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（2）质疑超过有效期的；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（3）对同一事项重复质疑的。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2.质疑有下列情形之一的，应暂不受理并告知供应商补充材料。供应商及时补充材料的，应予受理；逾期未补充的，不予受理：</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（1）质疑书格式和内容不符合国家或重庆市相关规定的；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（2）质疑书提供的依据或证明材料不全的；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（3）质疑书副本数量不足的。</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（四）投诉</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供应商对采购工作组的答复不满意，或者采购工作组未在规定时间内答复的，可在答复期满后十五个工作日内按有关规定，向有关监管部门投诉。</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院内质疑和投诉处理部门：重庆市第七人民医院监督审计科 联系电话：023-62859584。</w:t>
      </w:r>
    </w:p>
    <w:p>
      <w:pPr>
        <w:pStyle w:val="4"/>
        <w:spacing w:before="0" w:after="0" w:line="400" w:lineRule="exact"/>
        <w:rPr>
          <w:rFonts w:hint="eastAsia" w:ascii="方正仿宋_GBK" w:hAnsi="方正仿宋_GBK" w:eastAsia="方正仿宋_GBK" w:cs="方正仿宋_GBK"/>
          <w:color w:val="auto"/>
          <w:sz w:val="24"/>
          <w:szCs w:val="24"/>
        </w:rPr>
      </w:pPr>
      <w:bookmarkStart w:id="68" w:name="_Toc18725"/>
      <w:r>
        <w:rPr>
          <w:rFonts w:hint="eastAsia" w:ascii="方正仿宋_GBK" w:hAnsi="方正仿宋_GBK" w:eastAsia="方正仿宋_GBK" w:cs="方正仿宋_GBK"/>
          <w:color w:val="auto"/>
          <w:sz w:val="24"/>
          <w:szCs w:val="24"/>
        </w:rPr>
        <w:t>七、签订</w:t>
      </w:r>
      <w:bookmarkEnd w:id="64"/>
      <w:r>
        <w:rPr>
          <w:rFonts w:hint="eastAsia" w:ascii="方正仿宋_GBK" w:hAnsi="方正仿宋_GBK" w:eastAsia="方正仿宋_GBK" w:cs="方正仿宋_GBK"/>
          <w:color w:val="auto"/>
          <w:sz w:val="24"/>
          <w:szCs w:val="24"/>
        </w:rPr>
        <w:t>合同</w:t>
      </w:r>
      <w:bookmarkEnd w:id="65"/>
      <w:bookmarkEnd w:id="66"/>
      <w:bookmarkEnd w:id="67"/>
      <w:bookmarkEnd w:id="68"/>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（一）成交供应商应在领取成交通知书后10个工作日内，按照采购确定的要求与重庆市第七人民医院签订采购书面合同。所签订的合同不得对措施文件和成交供应商响应文件作实质性修改。</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若成交供应商逾期或拒绝领取成交通知书或者不按成交状态签订合同的，视为自动放弃。</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（二）竞争性磋商文件、供应商的响应文件及澄清文件等，均为签订政府采购合同的依据。</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pPr>
        <w:snapToGrid w:val="0"/>
        <w:spacing w:line="380" w:lineRule="exact"/>
        <w:ind w:firstLine="240" w:firstLineChars="1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（四）合同模板见第六篇。</w:t>
      </w:r>
    </w:p>
    <w:p>
      <w:pPr>
        <w:pStyle w:val="3"/>
        <w:spacing w:line="360" w:lineRule="auto"/>
        <w:jc w:val="center"/>
        <w:rPr>
          <w:rFonts w:ascii="方正小标宋_GBK" w:hAnsi="宋体" w:eastAsia="方正小标宋_GBK"/>
          <w:b/>
          <w:color w:val="auto"/>
          <w:sz w:val="36"/>
          <w:szCs w:val="30"/>
        </w:rPr>
      </w:pPr>
      <w:r>
        <w:rPr>
          <w:rFonts w:hAnsi="宋体"/>
          <w:color w:val="auto"/>
          <w:sz w:val="36"/>
          <w:szCs w:val="30"/>
        </w:rPr>
        <w:br w:type="page"/>
      </w:r>
      <w:bookmarkStart w:id="69" w:name="_Toc24093"/>
      <w:r>
        <w:rPr>
          <w:rFonts w:hint="eastAsia" w:ascii="方正小标宋_GBK" w:hAnsi="宋体" w:eastAsia="方正小标宋_GBK"/>
          <w:b/>
          <w:color w:val="auto"/>
          <w:sz w:val="36"/>
          <w:szCs w:val="30"/>
        </w:rPr>
        <w:t xml:space="preserve">第六篇  </w:t>
      </w:r>
      <w:bookmarkEnd w:id="46"/>
      <w:bookmarkEnd w:id="47"/>
      <w:r>
        <w:rPr>
          <w:rFonts w:hint="eastAsia" w:ascii="方正小标宋_GBK" w:hAnsi="宋体" w:eastAsia="方正小标宋_GBK"/>
          <w:color w:val="auto"/>
          <w:sz w:val="36"/>
          <w:szCs w:val="30"/>
        </w:rPr>
        <w:t>合同主要条款（样本）</w:t>
      </w:r>
      <w:bookmarkEnd w:id="69"/>
    </w:p>
    <w:p>
      <w:pPr>
        <w:spacing w:line="500" w:lineRule="exact"/>
        <w:jc w:val="center"/>
        <w:rPr>
          <w:rFonts w:ascii="仿宋" w:hAnsi="仿宋" w:eastAsia="仿宋" w:cs="仿宋"/>
          <w:b/>
          <w:color w:val="auto"/>
          <w:sz w:val="44"/>
          <w:szCs w:val="44"/>
        </w:rPr>
      </w:pPr>
      <w:bookmarkStart w:id="70" w:name="_Hlt41879464"/>
      <w:bookmarkEnd w:id="70"/>
      <w:r>
        <w:rPr>
          <w:rFonts w:hint="eastAsia" w:ascii="仿宋" w:hAnsi="仿宋" w:eastAsia="仿宋" w:cs="仿宋"/>
          <w:b/>
          <w:color w:val="auto"/>
          <w:sz w:val="44"/>
          <w:szCs w:val="44"/>
        </w:rPr>
        <w:t>重庆市第七人民医院服务类采购合同</w:t>
      </w:r>
    </w:p>
    <w:p>
      <w:pPr>
        <w:spacing w:line="500" w:lineRule="exact"/>
        <w:jc w:val="center"/>
        <w:rPr>
          <w:rFonts w:ascii="仿宋" w:hAnsi="仿宋" w:eastAsia="仿宋" w:cs="仿宋"/>
          <w:color w:val="auto"/>
          <w:sz w:val="36"/>
          <w:szCs w:val="20"/>
        </w:rPr>
      </w:pPr>
      <w:r>
        <w:rPr>
          <w:rFonts w:hint="eastAsia" w:ascii="仿宋" w:hAnsi="仿宋" w:eastAsia="仿宋" w:cs="仿宋"/>
          <w:color w:val="auto"/>
          <w:sz w:val="36"/>
          <w:szCs w:val="28"/>
        </w:rPr>
        <w:t>（项目编号：</w:t>
      </w:r>
      <w:r>
        <w:rPr>
          <w:rFonts w:hint="eastAsia" w:ascii="仿宋" w:hAnsi="仿宋" w:eastAsia="仿宋" w:cs="仿宋"/>
          <w:b/>
          <w:color w:val="auto"/>
          <w:sz w:val="36"/>
          <w:szCs w:val="28"/>
        </w:rPr>
        <w:t xml:space="preserve">    </w:t>
      </w:r>
      <w:r>
        <w:rPr>
          <w:rFonts w:hint="eastAsia" w:ascii="仿宋" w:hAnsi="仿宋" w:eastAsia="仿宋" w:cs="仿宋"/>
          <w:color w:val="auto"/>
          <w:sz w:val="36"/>
          <w:szCs w:val="20"/>
        </w:rPr>
        <w:t>）</w:t>
      </w:r>
    </w:p>
    <w:p>
      <w:pPr>
        <w:pStyle w:val="57"/>
        <w:ind w:left="0" w:leftChars="0" w:firstLine="0" w:firstLineChars="0"/>
        <w:jc w:val="center"/>
        <w:rPr>
          <w:rFonts w:hint="eastAsia" w:ascii="方正仿宋_GBK" w:eastAsia="方正仿宋_GBK"/>
          <w:color w:val="auto"/>
          <w:sz w:val="28"/>
          <w:szCs w:val="28"/>
          <w:highlight w:val="yellow"/>
          <w:u w:val="single"/>
        </w:rPr>
      </w:pPr>
    </w:p>
    <w:p>
      <w:pPr>
        <w:spacing w:line="500" w:lineRule="exact"/>
        <w:rPr>
          <w:rFonts w:ascii="仿宋" w:hAnsi="仿宋" w:eastAsia="仿宋" w:cs="仿宋"/>
          <w:color w:val="auto"/>
          <w:sz w:val="24"/>
        </w:rPr>
      </w:pPr>
      <w:r>
        <w:rPr>
          <w:rFonts w:hint="eastAsia" w:ascii="仿宋" w:hAnsi="仿宋" w:eastAsia="仿宋" w:cs="仿宋"/>
          <w:color w:val="auto"/>
          <w:sz w:val="24"/>
        </w:rPr>
        <w:t>甲方（需方）：___________________________      计价单位：____________</w:t>
      </w:r>
    </w:p>
    <w:p>
      <w:pPr>
        <w:spacing w:line="500" w:lineRule="exact"/>
        <w:rPr>
          <w:rFonts w:ascii="仿宋" w:hAnsi="仿宋" w:eastAsia="仿宋" w:cs="仿宋"/>
          <w:color w:val="auto"/>
          <w:sz w:val="24"/>
        </w:rPr>
      </w:pPr>
      <w:r>
        <w:rPr>
          <w:rFonts w:hint="eastAsia" w:ascii="仿宋" w:hAnsi="仿宋" w:eastAsia="仿宋" w:cs="仿宋"/>
          <w:color w:val="auto"/>
          <w:sz w:val="24"/>
        </w:rPr>
        <w:t>乙方（供方）：___________________________      计量单位：_____________</w:t>
      </w:r>
    </w:p>
    <w:p>
      <w:pPr>
        <w:spacing w:line="500" w:lineRule="exact"/>
        <w:rPr>
          <w:rFonts w:ascii="仿宋" w:hAnsi="仿宋" w:eastAsia="仿宋"/>
          <w:color w:val="auto"/>
          <w:sz w:val="28"/>
          <w:szCs w:val="28"/>
        </w:rPr>
      </w:pPr>
      <w:r>
        <w:rPr>
          <w:rFonts w:hint="eastAsia" w:ascii="仿宋" w:hAnsi="仿宋" w:eastAsia="仿宋"/>
          <w:color w:val="auto"/>
          <w:sz w:val="28"/>
          <w:szCs w:val="28"/>
        </w:rPr>
        <w:t>经双方协商一致，达成以下合同条款：</w:t>
      </w:r>
    </w:p>
    <w:tbl>
      <w:tblPr>
        <w:tblStyle w:val="59"/>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服务名称</w:t>
            </w:r>
          </w:p>
        </w:tc>
        <w:tc>
          <w:tcPr>
            <w:tcW w:w="1878" w:type="dxa"/>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服务具体内容</w:t>
            </w:r>
          </w:p>
        </w:tc>
        <w:tc>
          <w:tcPr>
            <w:tcW w:w="1107" w:type="dxa"/>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服务期限</w:t>
            </w:r>
          </w:p>
        </w:tc>
        <w:tc>
          <w:tcPr>
            <w:tcW w:w="1200" w:type="dxa"/>
            <w:gridSpan w:val="2"/>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综合单价</w:t>
            </w:r>
          </w:p>
        </w:tc>
        <w:tc>
          <w:tcPr>
            <w:tcW w:w="820" w:type="dxa"/>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总价</w:t>
            </w:r>
          </w:p>
        </w:tc>
        <w:tc>
          <w:tcPr>
            <w:tcW w:w="1119" w:type="dxa"/>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服务时间</w:t>
            </w:r>
          </w:p>
        </w:tc>
        <w:tc>
          <w:tcPr>
            <w:tcW w:w="1445" w:type="dxa"/>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服务地点</w:t>
            </w:r>
          </w:p>
        </w:tc>
        <w:tc>
          <w:tcPr>
            <w:tcW w:w="1131" w:type="dxa"/>
            <w:gridSpan w:val="2"/>
            <w:noWrap w:val="0"/>
            <w:vAlign w:val="center"/>
          </w:tcPr>
          <w:p>
            <w:pPr>
              <w:spacing w:line="240" w:lineRule="atLeast"/>
              <w:jc w:val="center"/>
              <w:rPr>
                <w:rFonts w:ascii="仿宋" w:hAnsi="仿宋" w:eastAsia="仿宋"/>
                <w:color w:val="auto"/>
                <w:sz w:val="24"/>
                <w:szCs w:val="21"/>
              </w:rPr>
            </w:pPr>
            <w:r>
              <w:rPr>
                <w:rFonts w:hint="eastAsia" w:ascii="仿宋" w:hAnsi="仿宋" w:eastAsia="仿宋"/>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noWrap w:val="0"/>
            <w:vAlign w:val="center"/>
          </w:tcPr>
          <w:p>
            <w:pPr>
              <w:spacing w:line="240" w:lineRule="atLeast"/>
              <w:jc w:val="center"/>
              <w:rPr>
                <w:rFonts w:ascii="仿宋" w:hAnsi="仿宋" w:eastAsia="仿宋"/>
                <w:color w:val="auto"/>
                <w:sz w:val="24"/>
                <w:szCs w:val="21"/>
              </w:rPr>
            </w:pPr>
          </w:p>
        </w:tc>
        <w:tc>
          <w:tcPr>
            <w:tcW w:w="1878" w:type="dxa"/>
            <w:noWrap w:val="0"/>
            <w:vAlign w:val="center"/>
          </w:tcPr>
          <w:p>
            <w:pPr>
              <w:spacing w:line="240" w:lineRule="atLeast"/>
              <w:jc w:val="center"/>
              <w:rPr>
                <w:rFonts w:ascii="仿宋" w:hAnsi="仿宋" w:eastAsia="仿宋"/>
                <w:color w:val="auto"/>
                <w:sz w:val="24"/>
                <w:szCs w:val="21"/>
              </w:rPr>
            </w:pPr>
          </w:p>
        </w:tc>
        <w:tc>
          <w:tcPr>
            <w:tcW w:w="1107" w:type="dxa"/>
            <w:noWrap w:val="0"/>
            <w:vAlign w:val="center"/>
          </w:tcPr>
          <w:p>
            <w:pPr>
              <w:spacing w:line="240" w:lineRule="atLeast"/>
              <w:jc w:val="center"/>
              <w:rPr>
                <w:rFonts w:ascii="仿宋" w:hAnsi="仿宋" w:eastAsia="仿宋"/>
                <w:color w:val="auto"/>
                <w:sz w:val="24"/>
                <w:szCs w:val="21"/>
              </w:rPr>
            </w:pPr>
          </w:p>
        </w:tc>
        <w:tc>
          <w:tcPr>
            <w:tcW w:w="1200" w:type="dxa"/>
            <w:gridSpan w:val="2"/>
            <w:noWrap w:val="0"/>
            <w:vAlign w:val="center"/>
          </w:tcPr>
          <w:p>
            <w:pPr>
              <w:spacing w:line="240" w:lineRule="atLeast"/>
              <w:jc w:val="center"/>
              <w:rPr>
                <w:rFonts w:ascii="仿宋" w:hAnsi="仿宋" w:eastAsia="仿宋"/>
                <w:color w:val="auto"/>
                <w:sz w:val="24"/>
                <w:szCs w:val="21"/>
              </w:rPr>
            </w:pPr>
          </w:p>
        </w:tc>
        <w:tc>
          <w:tcPr>
            <w:tcW w:w="820" w:type="dxa"/>
            <w:noWrap w:val="0"/>
            <w:vAlign w:val="center"/>
          </w:tcPr>
          <w:p>
            <w:pPr>
              <w:spacing w:line="240" w:lineRule="atLeast"/>
              <w:jc w:val="center"/>
              <w:rPr>
                <w:rFonts w:ascii="仿宋" w:hAnsi="仿宋" w:eastAsia="仿宋"/>
                <w:color w:val="auto"/>
                <w:sz w:val="24"/>
                <w:szCs w:val="21"/>
              </w:rPr>
            </w:pPr>
          </w:p>
        </w:tc>
        <w:tc>
          <w:tcPr>
            <w:tcW w:w="1119" w:type="dxa"/>
            <w:noWrap w:val="0"/>
            <w:vAlign w:val="center"/>
          </w:tcPr>
          <w:p>
            <w:pPr>
              <w:spacing w:line="240" w:lineRule="atLeast"/>
              <w:jc w:val="center"/>
              <w:rPr>
                <w:rFonts w:ascii="仿宋" w:hAnsi="仿宋" w:eastAsia="仿宋"/>
                <w:color w:val="auto"/>
                <w:sz w:val="24"/>
                <w:szCs w:val="21"/>
              </w:rPr>
            </w:pPr>
          </w:p>
        </w:tc>
        <w:tc>
          <w:tcPr>
            <w:tcW w:w="1445" w:type="dxa"/>
            <w:noWrap w:val="0"/>
            <w:vAlign w:val="center"/>
          </w:tcPr>
          <w:p>
            <w:pPr>
              <w:spacing w:line="240" w:lineRule="atLeast"/>
              <w:jc w:val="center"/>
              <w:rPr>
                <w:rFonts w:ascii="仿宋" w:hAnsi="仿宋" w:eastAsia="仿宋"/>
                <w:color w:val="auto"/>
                <w:sz w:val="24"/>
                <w:szCs w:val="21"/>
              </w:rPr>
            </w:pPr>
          </w:p>
        </w:tc>
        <w:tc>
          <w:tcPr>
            <w:tcW w:w="1131" w:type="dxa"/>
            <w:gridSpan w:val="2"/>
            <w:noWrap w:val="0"/>
            <w:vAlign w:val="center"/>
          </w:tcPr>
          <w:p>
            <w:pPr>
              <w:spacing w:line="240" w:lineRule="atLeast"/>
              <w:jc w:val="center"/>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rPr>
            </w:pPr>
            <w:r>
              <w:rPr>
                <w:rFonts w:hint="eastAsia" w:ascii="仿宋" w:hAnsi="仿宋" w:eastAsia="仿宋"/>
                <w:color w:val="auto"/>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rPr>
            </w:pPr>
            <w:r>
              <w:rPr>
                <w:rFonts w:hint="eastAsia" w:ascii="仿宋" w:hAnsi="仿宋" w:eastAsia="仿宋"/>
                <w:color w:val="auto"/>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rPr>
            </w:pPr>
            <w:r>
              <w:rPr>
                <w:rFonts w:hint="eastAsia" w:ascii="仿宋" w:hAnsi="仿宋" w:eastAsia="仿宋"/>
                <w:color w:val="auto"/>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noWrap w:val="0"/>
            <w:vAlign w:val="center"/>
          </w:tcPr>
          <w:p>
            <w:pPr>
              <w:spacing w:line="240" w:lineRule="atLeast"/>
              <w:rPr>
                <w:rFonts w:ascii="仿宋" w:hAnsi="仿宋" w:eastAsia="仿宋"/>
                <w:color w:val="auto"/>
                <w:sz w:val="24"/>
                <w:szCs w:val="21"/>
              </w:rPr>
            </w:pPr>
            <w:r>
              <w:rPr>
                <w:rFonts w:hint="eastAsia" w:ascii="仿宋" w:hAnsi="仿宋" w:eastAsia="仿宋"/>
                <w:color w:val="auto"/>
                <w:sz w:val="24"/>
                <w:szCs w:val="21"/>
              </w:rPr>
              <w:t>履约保证金：</w:t>
            </w:r>
            <w:r>
              <w:rPr>
                <w:rFonts w:hint="eastAsia" w:ascii="仿宋" w:hAnsi="仿宋" w:eastAsia="仿宋"/>
                <w:color w:val="auto"/>
                <w:sz w:val="24"/>
                <w:szCs w:val="21"/>
                <w:u w:val="single"/>
              </w:rPr>
              <w:t xml:space="preserve"> </w:t>
            </w:r>
            <w:r>
              <w:rPr>
                <w:rFonts w:ascii="仿宋" w:hAnsi="仿宋" w:eastAsia="仿宋"/>
                <w:color w:val="auto"/>
                <w:sz w:val="24"/>
                <w:szCs w:val="21"/>
                <w:u w:val="single"/>
              </w:rPr>
              <w:t xml:space="preserve">      </w:t>
            </w:r>
            <w:r>
              <w:rPr>
                <w:rFonts w:hint="eastAsia" w:ascii="仿宋" w:hAnsi="仿宋" w:eastAsia="仿宋"/>
                <w:color w:val="auto"/>
                <w:sz w:val="24"/>
                <w:szCs w:val="21"/>
              </w:rPr>
              <w:t>元</w:t>
            </w:r>
            <w:r>
              <w:rPr>
                <w:rFonts w:hint="eastAsia" w:ascii="仿宋" w:hAnsi="仿宋" w:eastAsia="仿宋"/>
                <w:color w:val="auto"/>
                <w:sz w:val="24"/>
                <w:szCs w:val="21"/>
                <w:u w:val="single"/>
              </w:rPr>
              <w:t xml:space="preserve">（大写： </w:t>
            </w:r>
            <w:r>
              <w:rPr>
                <w:rFonts w:ascii="仿宋" w:hAnsi="仿宋" w:eastAsia="仿宋"/>
                <w:color w:val="auto"/>
                <w:sz w:val="24"/>
                <w:szCs w:val="21"/>
                <w:u w:val="single"/>
              </w:rPr>
              <w:t xml:space="preserve">         </w:t>
            </w:r>
            <w:r>
              <w:rPr>
                <w:rFonts w:hint="eastAsia" w:ascii="仿宋" w:hAnsi="仿宋" w:eastAsia="仿宋"/>
                <w:color w:val="auto"/>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noWrap w:val="0"/>
            <w:vAlign w:val="top"/>
          </w:tcPr>
          <w:p>
            <w:pPr>
              <w:pStyle w:val="90"/>
              <w:spacing w:line="240" w:lineRule="atLeast"/>
              <w:ind w:firstLine="0" w:firstLineChars="0"/>
              <w:rPr>
                <w:rFonts w:ascii="仿宋" w:hAnsi="仿宋" w:eastAsia="仿宋"/>
                <w:color w:val="auto"/>
                <w:sz w:val="24"/>
                <w:szCs w:val="21"/>
              </w:rPr>
            </w:pPr>
            <w:r>
              <w:rPr>
                <w:rFonts w:hint="eastAsia" w:ascii="仿宋" w:hAnsi="仿宋" w:eastAsia="仿宋"/>
                <w:color w:val="auto"/>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color w:val="auto"/>
                <w:sz w:val="24"/>
                <w:szCs w:val="21"/>
              </w:rPr>
            </w:pPr>
            <w:r>
              <w:rPr>
                <w:rFonts w:hint="eastAsia" w:ascii="仿宋" w:hAnsi="仿宋" w:eastAsia="仿宋"/>
                <w:color w:val="auto"/>
                <w:sz w:val="24"/>
                <w:szCs w:val="21"/>
              </w:rPr>
              <w:t>1.质保期限：</w:t>
            </w:r>
          </w:p>
          <w:p>
            <w:pPr>
              <w:spacing w:line="240" w:lineRule="atLeast"/>
              <w:rPr>
                <w:color w:val="auto"/>
                <w:sz w:val="24"/>
              </w:rPr>
            </w:pPr>
            <w:r>
              <w:rPr>
                <w:rFonts w:hint="eastAsia" w:ascii="仿宋" w:hAnsi="仿宋" w:eastAsia="仿宋"/>
                <w:color w:val="auto"/>
                <w:sz w:val="24"/>
                <w:szCs w:val="21"/>
              </w:rPr>
              <w:t>（1）。</w:t>
            </w:r>
          </w:p>
          <w:p>
            <w:pPr>
              <w:spacing w:line="240" w:lineRule="atLeast"/>
              <w:rPr>
                <w:rFonts w:ascii="仿宋" w:hAnsi="仿宋" w:eastAsia="仿宋"/>
                <w:color w:val="auto"/>
                <w:sz w:val="24"/>
                <w:szCs w:val="21"/>
              </w:rPr>
            </w:pPr>
            <w:r>
              <w:rPr>
                <w:rFonts w:hint="eastAsia" w:ascii="仿宋" w:hAnsi="仿宋" w:eastAsia="仿宋"/>
                <w:color w:val="auto"/>
                <w:sz w:val="24"/>
                <w:szCs w:val="21"/>
              </w:rPr>
              <w:t>（</w:t>
            </w:r>
            <w:r>
              <w:rPr>
                <w:rFonts w:ascii="仿宋" w:hAnsi="仿宋" w:eastAsia="仿宋"/>
                <w:color w:val="auto"/>
                <w:sz w:val="24"/>
                <w:szCs w:val="21"/>
              </w:rPr>
              <w:t>2</w:t>
            </w:r>
            <w:r>
              <w:rPr>
                <w:rFonts w:hint="eastAsia" w:ascii="仿宋" w:hAnsi="仿宋" w:eastAsia="仿宋"/>
                <w:color w:val="auto"/>
                <w:sz w:val="24"/>
                <w:szCs w:val="21"/>
              </w:rPr>
              <w:t>）措施：质保期内服务不符合要求的，由乙方提供售后服务，并承担全部费用。售后服务具体要求如下：</w:t>
            </w:r>
          </w:p>
          <w:p>
            <w:pPr>
              <w:spacing w:line="240" w:lineRule="atLeast"/>
              <w:rPr>
                <w:rFonts w:ascii="仿宋" w:hAnsi="仿宋" w:eastAsia="仿宋"/>
                <w:color w:val="auto"/>
                <w:sz w:val="24"/>
              </w:rPr>
            </w:pPr>
            <w:r>
              <w:rPr>
                <w:rFonts w:hint="eastAsia" w:ascii="仿宋" w:hAnsi="仿宋" w:eastAsia="仿宋"/>
                <w:color w:val="auto"/>
                <w:sz w:val="24"/>
              </w:rPr>
              <w:t>a。</w:t>
            </w:r>
          </w:p>
          <w:p>
            <w:pPr>
              <w:spacing w:line="240" w:lineRule="atLeast"/>
              <w:rPr>
                <w:rFonts w:hint="default" w:eastAsia="仿宋"/>
                <w:color w:val="auto"/>
                <w:lang w:val="en-US" w:eastAsia="zh-CN"/>
              </w:rPr>
            </w:pPr>
            <w:r>
              <w:rPr>
                <w:rFonts w:hint="eastAsia" w:ascii="仿宋" w:hAnsi="仿宋" w:eastAsia="仿宋"/>
                <w:color w:val="auto"/>
                <w:sz w:val="24"/>
              </w:rPr>
              <w:t>b。</w:t>
            </w:r>
            <w:r>
              <w:rPr>
                <w:rFonts w:hint="eastAsia" w:ascii="仿宋" w:hAnsi="仿宋" w:eastAsia="仿宋"/>
                <w:color w:val="auto"/>
                <w:sz w:val="24"/>
                <w:lang w:val="en-US" w:eastAsia="zh-CN"/>
              </w:rPr>
              <w:t>...</w:t>
            </w:r>
          </w:p>
          <w:p>
            <w:pPr>
              <w:numPr>
                <w:ilvl w:val="0"/>
                <w:numId w:val="14"/>
              </w:numPr>
              <w:spacing w:line="240" w:lineRule="atLeast"/>
              <w:rPr>
                <w:rFonts w:hint="eastAsia" w:ascii="仿宋" w:hAnsi="仿宋" w:eastAsia="仿宋"/>
                <w:color w:val="auto"/>
                <w:sz w:val="24"/>
                <w:szCs w:val="21"/>
              </w:rPr>
            </w:pPr>
            <w:r>
              <w:rPr>
                <w:rFonts w:hint="eastAsia" w:ascii="仿宋" w:hAnsi="仿宋" w:eastAsia="仿宋"/>
                <w:color w:val="auto"/>
                <w:sz w:val="24"/>
                <w:szCs w:val="21"/>
              </w:rPr>
              <w:t>其他：</w:t>
            </w:r>
          </w:p>
          <w:p>
            <w:pPr>
              <w:spacing w:line="240" w:lineRule="atLeast"/>
              <w:rPr>
                <w:rFonts w:ascii="仿宋" w:hAnsi="仿宋" w:eastAsia="仿宋"/>
                <w:color w:val="auto"/>
                <w:sz w:val="24"/>
                <w:szCs w:val="21"/>
              </w:rPr>
            </w:pPr>
            <w:r>
              <w:rPr>
                <w:rFonts w:ascii="仿宋" w:hAnsi="仿宋" w:eastAsia="仿宋"/>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noWrap w:val="0"/>
            <w:vAlign w:val="top"/>
          </w:tcPr>
          <w:p>
            <w:pPr>
              <w:numPr>
                <w:ilvl w:val="0"/>
                <w:numId w:val="15"/>
              </w:numPr>
              <w:spacing w:line="240" w:lineRule="atLeast"/>
              <w:rPr>
                <w:rFonts w:ascii="仿宋" w:hAnsi="仿宋" w:eastAsia="仿宋"/>
                <w:color w:val="auto"/>
                <w:sz w:val="24"/>
                <w:szCs w:val="21"/>
              </w:rPr>
            </w:pPr>
            <w:r>
              <w:rPr>
                <w:rFonts w:hint="eastAsia" w:ascii="仿宋" w:hAnsi="仿宋" w:eastAsia="仿宋"/>
                <w:color w:val="auto"/>
                <w:sz w:val="24"/>
                <w:szCs w:val="21"/>
              </w:rPr>
              <w:t>服务方式：</w:t>
            </w:r>
          </w:p>
          <w:p>
            <w:pPr>
              <w:spacing w:line="240" w:lineRule="atLeast"/>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三、权利瑕疵担保</w:t>
            </w:r>
          </w:p>
          <w:p>
            <w:pPr>
              <w:spacing w:line="240" w:lineRule="atLeast"/>
              <w:rPr>
                <w:rFonts w:ascii="仿宋" w:hAnsi="仿宋" w:eastAsia="仿宋"/>
                <w:color w:val="auto"/>
                <w:sz w:val="24"/>
                <w:szCs w:val="21"/>
              </w:rPr>
            </w:pPr>
            <w:r>
              <w:rPr>
                <w:rFonts w:hint="eastAsia" w:ascii="仿宋" w:hAnsi="仿宋" w:eastAsia="仿宋"/>
                <w:color w:val="auto"/>
                <w:sz w:val="24"/>
                <w:szCs w:val="21"/>
              </w:rPr>
              <w:t>（1）乙方保证对其交付的服务及成果享有合法的权利。</w:t>
            </w:r>
          </w:p>
          <w:p>
            <w:pPr>
              <w:spacing w:line="240" w:lineRule="atLeast"/>
              <w:rPr>
                <w:color w:val="auto"/>
              </w:rPr>
            </w:pPr>
            <w:r>
              <w:rPr>
                <w:rFonts w:hint="eastAsia" w:ascii="仿宋" w:hAnsi="仿宋" w:eastAsia="仿宋"/>
                <w:color w:val="auto"/>
                <w:sz w:val="24"/>
                <w:szCs w:val="21"/>
              </w:rPr>
              <w:t>（2）乙方保证在服务上不存在任何未曾向甲方透露的担保物权，如抵押权、质押权、留置权等。</w:t>
            </w:r>
          </w:p>
          <w:p>
            <w:pPr>
              <w:spacing w:line="240" w:lineRule="atLeast"/>
              <w:rPr>
                <w:rFonts w:ascii="仿宋" w:hAnsi="仿宋" w:eastAsia="仿宋"/>
                <w:color w:val="auto"/>
                <w:sz w:val="24"/>
                <w:szCs w:val="21"/>
              </w:rPr>
            </w:pPr>
            <w:r>
              <w:rPr>
                <w:rFonts w:hint="eastAsia" w:ascii="仿宋" w:hAnsi="仿宋" w:eastAsia="仿宋"/>
                <w:color w:val="auto"/>
                <w:sz w:val="24"/>
                <w:szCs w:val="21"/>
              </w:rPr>
              <w:t>（3）乙方保证其所交付的服务没有侵犯任何第三人的知识产权和商业秘密等权利。</w:t>
            </w:r>
          </w:p>
          <w:p>
            <w:pPr>
              <w:spacing w:line="240" w:lineRule="atLeast"/>
              <w:rPr>
                <w:rFonts w:ascii="仿宋" w:hAnsi="仿宋" w:eastAsia="仿宋"/>
                <w:color w:val="auto"/>
                <w:sz w:val="24"/>
                <w:szCs w:val="21"/>
              </w:rPr>
            </w:pPr>
            <w:r>
              <w:rPr>
                <w:rFonts w:hint="eastAsia" w:ascii="仿宋" w:hAnsi="仿宋" w:eastAsia="仿宋"/>
                <w:color w:val="auto"/>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noWrap w:val="0"/>
            <w:vAlign w:val="top"/>
          </w:tcPr>
          <w:p>
            <w:pPr>
              <w:pStyle w:val="90"/>
              <w:spacing w:line="240" w:lineRule="atLeast"/>
              <w:ind w:firstLine="0" w:firstLineChars="0"/>
              <w:rPr>
                <w:rFonts w:ascii="仿宋" w:hAnsi="仿宋" w:eastAsia="仿宋"/>
                <w:color w:val="auto"/>
                <w:sz w:val="24"/>
                <w:szCs w:val="21"/>
              </w:rPr>
            </w:pPr>
            <w:r>
              <w:rPr>
                <w:rFonts w:hint="eastAsia" w:ascii="仿宋" w:hAnsi="仿宋" w:eastAsia="仿宋"/>
                <w:color w:val="auto"/>
                <w:sz w:val="24"/>
                <w:szCs w:val="21"/>
              </w:rPr>
              <w:t>五、付款方式：</w:t>
            </w:r>
          </w:p>
          <w:p>
            <w:pPr>
              <w:spacing w:line="240" w:lineRule="atLeast"/>
              <w:rPr>
                <w:rFonts w:ascii="仿宋" w:hAnsi="仿宋" w:eastAsia="仿宋"/>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九、其他约定事项：</w:t>
            </w:r>
          </w:p>
          <w:p>
            <w:pPr>
              <w:spacing w:line="240" w:lineRule="atLeast"/>
              <w:rPr>
                <w:rFonts w:ascii="仿宋" w:hAnsi="仿宋" w:eastAsia="仿宋"/>
                <w:color w:val="auto"/>
                <w:sz w:val="24"/>
                <w:szCs w:val="21"/>
              </w:rPr>
            </w:pPr>
            <w:r>
              <w:rPr>
                <w:rFonts w:hint="eastAsia" w:ascii="仿宋" w:hAnsi="仿宋" w:eastAsia="仿宋"/>
                <w:color w:val="auto"/>
                <w:sz w:val="24"/>
                <w:szCs w:val="21"/>
              </w:rPr>
              <w:t>1</w:t>
            </w:r>
            <w:r>
              <w:rPr>
                <w:rFonts w:ascii="仿宋" w:hAnsi="仿宋" w:eastAsia="仿宋"/>
                <w:color w:val="auto"/>
                <w:sz w:val="24"/>
                <w:szCs w:val="21"/>
              </w:rPr>
              <w:t>.</w:t>
            </w:r>
            <w:r>
              <w:rPr>
                <w:rFonts w:hint="eastAsia" w:ascii="仿宋" w:hAnsi="仿宋" w:eastAsia="仿宋"/>
                <w:color w:val="auto"/>
                <w:sz w:val="24"/>
                <w:szCs w:val="21"/>
              </w:rPr>
              <w:t>采购文件及其补遗文件、响应文件和承诺、及合同附件是本合同不可分割的部分。</w:t>
            </w:r>
          </w:p>
          <w:p>
            <w:pPr>
              <w:spacing w:line="240" w:lineRule="atLeast"/>
              <w:rPr>
                <w:rFonts w:ascii="仿宋" w:hAnsi="仿宋" w:eastAsia="仿宋"/>
                <w:color w:val="auto"/>
                <w:sz w:val="24"/>
                <w:szCs w:val="21"/>
              </w:rPr>
            </w:pPr>
            <w:r>
              <w:rPr>
                <w:rFonts w:hint="eastAsia" w:ascii="仿宋" w:hAnsi="仿宋" w:eastAsia="仿宋"/>
                <w:color w:val="auto"/>
                <w:sz w:val="24"/>
                <w:szCs w:val="21"/>
              </w:rPr>
              <w:t>2.本合同如发生争议由双方协商解决，协商不成向甲方所在地人民法院提请诉讼。</w:t>
            </w:r>
          </w:p>
          <w:p>
            <w:pPr>
              <w:spacing w:line="240" w:lineRule="atLeast"/>
              <w:rPr>
                <w:rFonts w:ascii="仿宋" w:hAnsi="仿宋" w:eastAsia="仿宋"/>
                <w:color w:val="auto"/>
                <w:sz w:val="24"/>
                <w:szCs w:val="21"/>
              </w:rPr>
            </w:pPr>
            <w:r>
              <w:rPr>
                <w:rFonts w:hint="eastAsia" w:ascii="仿宋" w:hAnsi="仿宋" w:eastAsia="仿宋"/>
                <w:color w:val="auto"/>
                <w:sz w:val="24"/>
                <w:szCs w:val="21"/>
              </w:rPr>
              <w:t>3.本合同一式</w:t>
            </w:r>
            <w:r>
              <w:rPr>
                <w:rFonts w:hint="eastAsia" w:ascii="仿宋" w:hAnsi="仿宋" w:eastAsia="仿宋"/>
                <w:color w:val="auto"/>
                <w:sz w:val="24"/>
                <w:szCs w:val="21"/>
                <w:u w:val="single"/>
              </w:rPr>
              <w:t xml:space="preserve">_   </w:t>
            </w:r>
            <w:r>
              <w:rPr>
                <w:rFonts w:hint="eastAsia" w:ascii="仿宋" w:hAnsi="仿宋" w:eastAsia="仿宋"/>
                <w:color w:val="auto"/>
                <w:sz w:val="24"/>
                <w:szCs w:val="21"/>
              </w:rPr>
              <w:t>份， 甲方</w:t>
            </w:r>
            <w:r>
              <w:rPr>
                <w:rFonts w:hint="eastAsia" w:ascii="仿宋" w:hAnsi="仿宋" w:eastAsia="仿宋"/>
                <w:color w:val="auto"/>
                <w:sz w:val="24"/>
                <w:szCs w:val="21"/>
                <w:u w:val="single"/>
              </w:rPr>
              <w:t>_  _</w:t>
            </w:r>
            <w:r>
              <w:rPr>
                <w:rFonts w:hint="eastAsia" w:ascii="仿宋" w:hAnsi="仿宋" w:eastAsia="仿宋"/>
                <w:color w:val="auto"/>
                <w:sz w:val="24"/>
                <w:szCs w:val="21"/>
              </w:rPr>
              <w:t>份，乙方</w:t>
            </w:r>
            <w:r>
              <w:rPr>
                <w:rFonts w:hint="eastAsia" w:ascii="仿宋" w:hAnsi="仿宋" w:eastAsia="仿宋"/>
                <w:color w:val="auto"/>
                <w:sz w:val="24"/>
                <w:szCs w:val="21"/>
                <w:u w:val="single"/>
              </w:rPr>
              <w:t xml:space="preserve">   </w:t>
            </w:r>
            <w:r>
              <w:rPr>
                <w:rFonts w:hint="eastAsia" w:ascii="仿宋" w:hAnsi="仿宋" w:eastAsia="仿宋"/>
                <w:color w:val="auto"/>
                <w:sz w:val="24"/>
                <w:szCs w:val="21"/>
              </w:rPr>
              <w:t>份，具备同等法律效力。</w:t>
            </w:r>
          </w:p>
          <w:p>
            <w:pPr>
              <w:spacing w:line="240" w:lineRule="atLeast"/>
              <w:rPr>
                <w:rFonts w:ascii="仿宋" w:hAnsi="仿宋" w:eastAsia="仿宋"/>
                <w:color w:val="auto"/>
                <w:sz w:val="24"/>
                <w:szCs w:val="21"/>
              </w:rPr>
            </w:pPr>
            <w:r>
              <w:rPr>
                <w:rFonts w:hint="eastAsia" w:ascii="仿宋" w:hAnsi="仿宋" w:eastAsia="仿宋"/>
                <w:color w:val="auto"/>
                <w:sz w:val="24"/>
                <w:szCs w:val="21"/>
              </w:rPr>
              <w:t>4.合同尾页为双方的送达地址，双方据此送达即产生送达的效力。</w:t>
            </w:r>
          </w:p>
          <w:p>
            <w:pPr>
              <w:spacing w:line="240" w:lineRule="atLeast"/>
              <w:rPr>
                <w:rFonts w:ascii="仿宋" w:hAnsi="仿宋" w:eastAsia="仿宋"/>
                <w:color w:val="auto"/>
                <w:sz w:val="24"/>
                <w:szCs w:val="21"/>
              </w:rPr>
            </w:pPr>
            <w:r>
              <w:rPr>
                <w:rFonts w:hint="eastAsia" w:ascii="仿宋" w:hAnsi="仿宋" w:eastAsia="仿宋"/>
                <w:color w:val="auto"/>
                <w:sz w:val="24"/>
                <w:szCs w:val="21"/>
              </w:rPr>
              <w:t>5.其他：</w:t>
            </w:r>
            <w:r>
              <w:rPr>
                <w:rFonts w:hint="eastAsia" w:ascii="仿宋" w:hAnsi="仿宋" w:eastAsia="仿宋"/>
                <w:color w:val="auto"/>
                <w:sz w:val="24"/>
                <w:szCs w:val="21"/>
                <w:u w:val="single"/>
              </w:rPr>
              <w:t xml:space="preserve">             </w:t>
            </w:r>
            <w:r>
              <w:rPr>
                <w:rFonts w:hint="eastAsia" w:ascii="仿宋" w:hAnsi="仿宋" w:eastAsia="仿宋"/>
                <w:color w:val="auto"/>
                <w:sz w:val="24"/>
                <w:szCs w:val="21"/>
              </w:rPr>
              <w:t>。</w:t>
            </w:r>
          </w:p>
          <w:p>
            <w:pPr>
              <w:spacing w:line="240" w:lineRule="atLeast"/>
              <w:rPr>
                <w:rFonts w:ascii="仿宋" w:hAnsi="仿宋" w:eastAsia="仿宋"/>
                <w:color w:val="auto"/>
                <w:sz w:val="24"/>
                <w:szCs w:val="21"/>
              </w:rPr>
            </w:pPr>
            <w:r>
              <w:rPr>
                <w:rFonts w:hint="eastAsia" w:ascii="仿宋" w:hAnsi="仿宋" w:eastAsia="仿宋"/>
                <w:color w:val="auto"/>
                <w:sz w:val="24"/>
                <w:szCs w:val="21"/>
              </w:rPr>
              <w:t xml:space="preserve"> </w:t>
            </w:r>
            <w:r>
              <w:rPr>
                <w:rFonts w:ascii="仿宋" w:hAnsi="仿宋" w:eastAsia="仿宋"/>
                <w:color w:val="auto"/>
                <w:sz w:val="24"/>
                <w:szCs w:val="21"/>
              </w:rPr>
              <w:t>(以</w:t>
            </w:r>
            <w:r>
              <w:rPr>
                <w:rFonts w:hint="eastAsia" w:ascii="仿宋" w:hAnsi="仿宋" w:eastAsia="仿宋"/>
                <w:color w:val="auto"/>
                <w:sz w:val="24"/>
                <w:szCs w:val="21"/>
              </w:rPr>
              <w:t>下无正文，为签署栏</w:t>
            </w:r>
            <w:r>
              <w:rPr>
                <w:rFonts w:ascii="仿宋" w:hAnsi="仿宋" w:eastAsia="仿宋"/>
                <w:color w:val="auto"/>
                <w:sz w:val="24"/>
                <w:szCs w:val="21"/>
              </w:rPr>
              <w:t>)</w:t>
            </w:r>
            <w:r>
              <w:rPr>
                <w:rFonts w:hint="eastAsia" w:ascii="仿宋" w:hAnsi="仿宋" w:eastAsia="仿宋"/>
                <w:color w:val="auto"/>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甲方：</w:t>
            </w:r>
          </w:p>
          <w:p>
            <w:pPr>
              <w:spacing w:line="240" w:lineRule="atLeast"/>
              <w:rPr>
                <w:rFonts w:ascii="仿宋" w:hAnsi="仿宋" w:eastAsia="仿宋"/>
                <w:color w:val="auto"/>
                <w:sz w:val="24"/>
                <w:szCs w:val="21"/>
              </w:rPr>
            </w:pPr>
            <w:r>
              <w:rPr>
                <w:rFonts w:hint="eastAsia" w:ascii="仿宋" w:hAnsi="仿宋" w:eastAsia="仿宋"/>
                <w:color w:val="auto"/>
                <w:sz w:val="24"/>
                <w:szCs w:val="21"/>
              </w:rPr>
              <w:t>送达地址：</w:t>
            </w:r>
          </w:p>
          <w:p>
            <w:pPr>
              <w:spacing w:line="240" w:lineRule="atLeast"/>
              <w:rPr>
                <w:rFonts w:ascii="仿宋" w:hAnsi="仿宋" w:eastAsia="仿宋"/>
                <w:color w:val="auto"/>
                <w:sz w:val="24"/>
                <w:szCs w:val="21"/>
              </w:rPr>
            </w:pPr>
            <w:r>
              <w:rPr>
                <w:rFonts w:hint="eastAsia" w:ascii="仿宋" w:hAnsi="仿宋" w:eastAsia="仿宋"/>
                <w:color w:val="auto"/>
                <w:sz w:val="24"/>
                <w:szCs w:val="21"/>
              </w:rPr>
              <w:t>联系电话：</w:t>
            </w:r>
          </w:p>
          <w:p>
            <w:pPr>
              <w:spacing w:line="240" w:lineRule="atLeast"/>
              <w:rPr>
                <w:rFonts w:ascii="仿宋" w:hAnsi="仿宋" w:eastAsia="仿宋"/>
                <w:color w:val="auto"/>
                <w:sz w:val="24"/>
                <w:szCs w:val="21"/>
              </w:rPr>
            </w:pPr>
            <w:r>
              <w:rPr>
                <w:rFonts w:hint="eastAsia" w:ascii="仿宋" w:hAnsi="仿宋" w:eastAsia="仿宋"/>
                <w:color w:val="auto"/>
                <w:sz w:val="24"/>
                <w:szCs w:val="21"/>
              </w:rPr>
              <w:t>法定代表人或授权代表：</w:t>
            </w:r>
          </w:p>
        </w:tc>
        <w:tc>
          <w:tcPr>
            <w:tcW w:w="5591" w:type="dxa"/>
            <w:gridSpan w:val="5"/>
            <w:noWrap w:val="0"/>
            <w:vAlign w:val="top"/>
          </w:tcPr>
          <w:p>
            <w:pPr>
              <w:spacing w:line="240" w:lineRule="atLeast"/>
              <w:rPr>
                <w:rFonts w:ascii="仿宋" w:hAnsi="仿宋" w:eastAsia="仿宋"/>
                <w:color w:val="auto"/>
                <w:sz w:val="24"/>
                <w:szCs w:val="21"/>
              </w:rPr>
            </w:pPr>
            <w:r>
              <w:rPr>
                <w:rFonts w:hint="eastAsia" w:ascii="仿宋" w:hAnsi="仿宋" w:eastAsia="仿宋"/>
                <w:color w:val="auto"/>
                <w:sz w:val="24"/>
                <w:szCs w:val="21"/>
              </w:rPr>
              <w:t>乙方：</w:t>
            </w:r>
          </w:p>
          <w:p>
            <w:pPr>
              <w:spacing w:line="240" w:lineRule="atLeast"/>
              <w:rPr>
                <w:rFonts w:ascii="仿宋" w:hAnsi="仿宋" w:eastAsia="仿宋"/>
                <w:color w:val="auto"/>
                <w:sz w:val="24"/>
                <w:szCs w:val="21"/>
              </w:rPr>
            </w:pPr>
            <w:r>
              <w:rPr>
                <w:rFonts w:hint="eastAsia" w:ascii="仿宋" w:hAnsi="仿宋" w:eastAsia="仿宋"/>
                <w:color w:val="auto"/>
                <w:sz w:val="24"/>
                <w:szCs w:val="21"/>
              </w:rPr>
              <w:t>送达地址：</w:t>
            </w:r>
          </w:p>
          <w:p>
            <w:pPr>
              <w:spacing w:line="240" w:lineRule="atLeast"/>
              <w:rPr>
                <w:rFonts w:ascii="仿宋" w:hAnsi="仿宋" w:eastAsia="仿宋"/>
                <w:color w:val="auto"/>
                <w:sz w:val="24"/>
                <w:szCs w:val="21"/>
              </w:rPr>
            </w:pPr>
            <w:r>
              <w:rPr>
                <w:rFonts w:hint="eastAsia" w:ascii="仿宋" w:hAnsi="仿宋" w:eastAsia="仿宋"/>
                <w:color w:val="auto"/>
                <w:sz w:val="24"/>
                <w:szCs w:val="21"/>
              </w:rPr>
              <w:t>电话：</w:t>
            </w:r>
          </w:p>
          <w:p>
            <w:pPr>
              <w:spacing w:line="240" w:lineRule="atLeast"/>
              <w:rPr>
                <w:rFonts w:ascii="仿宋" w:hAnsi="仿宋" w:eastAsia="仿宋"/>
                <w:color w:val="auto"/>
                <w:sz w:val="24"/>
                <w:szCs w:val="21"/>
              </w:rPr>
            </w:pPr>
            <w:r>
              <w:rPr>
                <w:rFonts w:hint="eastAsia" w:ascii="仿宋" w:hAnsi="仿宋" w:eastAsia="仿宋"/>
                <w:color w:val="auto"/>
                <w:sz w:val="24"/>
                <w:szCs w:val="21"/>
              </w:rPr>
              <w:t>传真：</w:t>
            </w:r>
          </w:p>
          <w:p>
            <w:pPr>
              <w:spacing w:line="240" w:lineRule="atLeast"/>
              <w:rPr>
                <w:rFonts w:ascii="仿宋" w:hAnsi="仿宋" w:eastAsia="仿宋"/>
                <w:color w:val="auto"/>
                <w:sz w:val="24"/>
                <w:szCs w:val="21"/>
              </w:rPr>
            </w:pPr>
            <w:r>
              <w:rPr>
                <w:rFonts w:hint="eastAsia" w:ascii="仿宋" w:hAnsi="仿宋" w:eastAsia="仿宋"/>
                <w:color w:val="auto"/>
                <w:sz w:val="24"/>
                <w:szCs w:val="21"/>
              </w:rPr>
              <w:t>开户银行：</w:t>
            </w:r>
          </w:p>
          <w:p>
            <w:pPr>
              <w:spacing w:line="240" w:lineRule="atLeast"/>
              <w:rPr>
                <w:rFonts w:ascii="仿宋" w:hAnsi="仿宋" w:eastAsia="仿宋"/>
                <w:color w:val="auto"/>
                <w:sz w:val="24"/>
                <w:szCs w:val="21"/>
              </w:rPr>
            </w:pPr>
            <w:r>
              <w:rPr>
                <w:rFonts w:hint="eastAsia" w:ascii="仿宋" w:hAnsi="仿宋" w:eastAsia="仿宋"/>
                <w:color w:val="auto"/>
                <w:sz w:val="24"/>
                <w:szCs w:val="21"/>
              </w:rPr>
              <w:t>账号：</w:t>
            </w:r>
          </w:p>
          <w:p>
            <w:pPr>
              <w:spacing w:line="240" w:lineRule="atLeast"/>
              <w:rPr>
                <w:rFonts w:ascii="仿宋" w:hAnsi="仿宋" w:eastAsia="仿宋"/>
                <w:color w:val="auto"/>
                <w:sz w:val="24"/>
                <w:szCs w:val="21"/>
              </w:rPr>
            </w:pPr>
            <w:r>
              <w:rPr>
                <w:rFonts w:hint="eastAsia" w:ascii="仿宋" w:hAnsi="仿宋" w:eastAsia="仿宋"/>
                <w:color w:val="auto"/>
                <w:sz w:val="24"/>
                <w:szCs w:val="21"/>
              </w:rPr>
              <w:t>法定代表人或授权代表：</w:t>
            </w:r>
          </w:p>
          <w:p>
            <w:pPr>
              <w:spacing w:line="240" w:lineRule="atLeast"/>
              <w:rPr>
                <w:rFonts w:ascii="仿宋" w:hAnsi="仿宋" w:eastAsia="仿宋"/>
                <w:color w:val="auto"/>
                <w:sz w:val="24"/>
                <w:szCs w:val="21"/>
              </w:rPr>
            </w:pPr>
            <w:r>
              <w:rPr>
                <w:rFonts w:hint="eastAsia" w:ascii="仿宋" w:hAnsi="仿宋" w:eastAsia="仿宋"/>
                <w:color w:val="auto"/>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color w:val="auto"/>
                <w:sz w:val="24"/>
                <w:szCs w:val="21"/>
              </w:rPr>
            </w:pPr>
          </w:p>
        </w:tc>
      </w:tr>
    </w:tbl>
    <w:p>
      <w:pPr>
        <w:spacing w:line="500" w:lineRule="exact"/>
        <w:ind w:firstLine="640" w:firstLineChars="200"/>
        <w:rPr>
          <w:rFonts w:hint="default" w:ascii="仿宋" w:hAnsi="仿宋" w:eastAsia="仿宋"/>
          <w:color w:val="auto"/>
          <w:sz w:val="32"/>
          <w:lang w:val="en-US" w:eastAsia="zh-CN"/>
        </w:rPr>
      </w:pPr>
      <w:r>
        <w:rPr>
          <w:rFonts w:hint="eastAsia" w:ascii="仿宋" w:hAnsi="仿宋" w:eastAsia="仿宋"/>
          <w:color w:val="auto"/>
          <w:sz w:val="32"/>
        </w:rPr>
        <w:t xml:space="preserve">签约时间：     年   月   日       </w:t>
      </w:r>
      <w:r>
        <w:rPr>
          <w:rFonts w:hint="eastAsia" w:ascii="仿宋" w:hAnsi="仿宋" w:eastAsia="仿宋"/>
          <w:color w:val="auto"/>
          <w:sz w:val="32"/>
          <w:lang w:val="en-US" w:eastAsia="zh-CN"/>
        </w:rPr>
        <w:t>签约地点：</w:t>
      </w:r>
    </w:p>
    <w:p>
      <w:pPr>
        <w:rPr>
          <w:rFonts w:ascii="仿宋" w:hAnsi="仿宋" w:eastAsia="仿宋" w:cs="仿宋"/>
          <w:color w:val="auto"/>
          <w:sz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rPr>
      </w:pPr>
    </w:p>
    <w:p>
      <w:pPr>
        <w:spacing w:line="50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廉洁协议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kern w:val="0"/>
          <w:sz w:val="32"/>
          <w:szCs w:val="32"/>
        </w:rPr>
      </w:pP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 xml:space="preserve">甲方：重庆市第七人民医院 </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乙方：</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 xml:space="preserve">  为确保甲乙双方交易全程的诚信、阳光</w:t>
      </w:r>
      <w:r>
        <w:rPr>
          <w:rFonts w:hint="eastAsia" w:ascii="仿宋" w:hAnsi="仿宋" w:eastAsia="仿宋" w:cs="Times New Roman"/>
          <w:color w:val="auto"/>
          <w:sz w:val="24"/>
          <w:szCs w:val="21"/>
          <w:lang w:eastAsia="zh-CN"/>
        </w:rPr>
        <w:t>，</w:t>
      </w:r>
      <w:r>
        <w:rPr>
          <w:rFonts w:hint="eastAsia" w:ascii="仿宋" w:hAnsi="仿宋" w:eastAsia="仿宋" w:cs="Times New Roman"/>
          <w:color w:val="auto"/>
          <w:sz w:val="24"/>
          <w:szCs w:val="21"/>
        </w:rPr>
        <w:t>营造廉洁公正、透明健康的供需关系，维护公平、公正的交易环境，防止商业贿赂等不正当行为的发生，经双方协商一致，特订立此协议，双方共同遵守。</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一、双方在合同的洽谈、签订、履行等活动中，或在其他业务往来，确保各方的经营管理活动、商务行为与交往均守法、合规、诚信、廉洁，不欺诈，不发生贿赂等不正当利益的输送。</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四、乙方不得聘用或承诺聘用甲方人员或其推荐的其他特定关系人到乙方工作，但该员工正常离职且本协议解除或终止满一年的除外。</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五、甲方人员不得有索贿、受贿、介绍贿赂或其他不正当利益的交行为。甲方人员向乙方索贿、变相索贿或介绍贿赂的，乙方应当立即向甲方纪委检举、揭发。</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六、双方资金往来必须通过对公账户进行，不得向对公账户以外的任何个人账户支付，否则直接认定为贿赂。</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lang w:val="en-US" w:eastAsia="zh-CN"/>
        </w:rPr>
        <w:t>七</w:t>
      </w:r>
      <w:r>
        <w:rPr>
          <w:rFonts w:hint="eastAsia" w:ascii="仿宋" w:hAnsi="仿宋" w:eastAsia="仿宋" w:cs="Times New Roman"/>
          <w:color w:val="auto"/>
          <w:sz w:val="24"/>
          <w:szCs w:val="21"/>
        </w:rPr>
        <w:t>、乙方违反本协议时，甲方有权随时解除双方订立的合同，对尚未结算的货款有权暂停支付</w:t>
      </w:r>
      <w:r>
        <w:rPr>
          <w:rFonts w:hint="eastAsia" w:ascii="仿宋" w:hAnsi="仿宋" w:eastAsia="仿宋" w:cs="Times New Roman"/>
          <w:color w:val="auto"/>
          <w:sz w:val="24"/>
          <w:szCs w:val="21"/>
          <w:lang w:eastAsia="zh-CN"/>
        </w:rPr>
        <w:t>。</w:t>
      </w:r>
      <w:r>
        <w:rPr>
          <w:rFonts w:hint="eastAsia" w:ascii="仿宋" w:hAnsi="仿宋" w:eastAsia="仿宋" w:cs="Times New Roman"/>
          <w:color w:val="auto"/>
          <w:sz w:val="24"/>
          <w:szCs w:val="21"/>
        </w:rPr>
        <w:t>因乙方贿赂、舞弊等违法违约行为，造成甲方经济损失或被第三方追诉的，乙方还应当承担甲方的全部经济损失。</w:t>
      </w:r>
    </w:p>
    <w:p>
      <w:pPr>
        <w:spacing w:line="240" w:lineRule="atLeast"/>
        <w:rPr>
          <w:rFonts w:hint="eastAsia" w:ascii="仿宋" w:hAnsi="仿宋" w:eastAsia="仿宋" w:cs="Times New Roman"/>
          <w:color w:val="auto"/>
          <w:sz w:val="24"/>
          <w:szCs w:val="21"/>
          <w:lang w:eastAsia="zh-CN"/>
        </w:rPr>
      </w:pPr>
      <w:r>
        <w:rPr>
          <w:rFonts w:hint="eastAsia" w:ascii="仿宋" w:hAnsi="仿宋" w:eastAsia="仿宋" w:cs="Times New Roman"/>
          <w:color w:val="auto"/>
          <w:sz w:val="24"/>
          <w:szCs w:val="21"/>
          <w:lang w:val="en-US" w:eastAsia="zh-CN"/>
        </w:rPr>
        <w:t>八、</w:t>
      </w:r>
      <w:r>
        <w:rPr>
          <w:rFonts w:hint="eastAsia" w:ascii="仿宋" w:hAnsi="仿宋" w:eastAsia="仿宋" w:cs="Times New Roman"/>
          <w:color w:val="auto"/>
          <w:sz w:val="24"/>
          <w:szCs w:val="21"/>
        </w:rPr>
        <w:t>甲乙双方对商业贿赂实行“零容忍”，只要有违反本协议的具体行为发生，不论数额的大小，不论次数的多少，不论不正当利益是否兑现，不论公司是否发生损害，均是违反本协议的商业贿赂行为</w:t>
      </w:r>
      <w:r>
        <w:rPr>
          <w:rFonts w:hint="eastAsia" w:ascii="仿宋" w:hAnsi="仿宋" w:eastAsia="仿宋" w:cs="Times New Roman"/>
          <w:color w:val="auto"/>
          <w:sz w:val="24"/>
          <w:szCs w:val="21"/>
          <w:lang w:eastAsia="zh-CN"/>
        </w:rPr>
        <w:t>，</w:t>
      </w:r>
      <w:r>
        <w:rPr>
          <w:rFonts w:hint="eastAsia" w:ascii="仿宋" w:hAnsi="仿宋" w:eastAsia="仿宋" w:cs="Times New Roman"/>
          <w:color w:val="auto"/>
          <w:sz w:val="24"/>
          <w:szCs w:val="21"/>
        </w:rPr>
        <w:t>按相关规定处理</w:t>
      </w:r>
      <w:r>
        <w:rPr>
          <w:rFonts w:hint="eastAsia" w:ascii="仿宋" w:hAnsi="仿宋" w:eastAsia="仿宋" w:cs="Times New Roman"/>
          <w:color w:val="auto"/>
          <w:sz w:val="24"/>
          <w:szCs w:val="21"/>
          <w:lang w:eastAsia="zh-CN"/>
        </w:rPr>
        <w:t>。</w:t>
      </w:r>
    </w:p>
    <w:p>
      <w:pPr>
        <w:spacing w:line="240" w:lineRule="atLeast"/>
        <w:rPr>
          <w:rFonts w:hint="eastAsia" w:ascii="仿宋" w:hAnsi="仿宋" w:eastAsia="仿宋" w:cs="Times New Roman"/>
          <w:color w:val="auto"/>
          <w:sz w:val="24"/>
          <w:szCs w:val="21"/>
          <w:lang w:eastAsia="zh-CN"/>
        </w:rPr>
      </w:pPr>
      <w:r>
        <w:rPr>
          <w:rFonts w:hint="eastAsia" w:ascii="仿宋" w:hAnsi="仿宋" w:eastAsia="仿宋" w:cs="Times New Roman"/>
          <w:color w:val="auto"/>
          <w:sz w:val="24"/>
          <w:szCs w:val="21"/>
          <w:lang w:val="en-US" w:eastAsia="zh-CN"/>
        </w:rPr>
        <w:t>九</w:t>
      </w:r>
      <w:r>
        <w:rPr>
          <w:rFonts w:hint="eastAsia" w:ascii="仿宋" w:hAnsi="仿宋" w:eastAsia="仿宋" w:cs="Times New Roman"/>
          <w:color w:val="auto"/>
          <w:sz w:val="24"/>
          <w:szCs w:val="21"/>
        </w:rPr>
        <w:t>、发生商业贿赂等不正当利益交易时，甲方接受任何知情人员的举报、投诉和揭发</w:t>
      </w:r>
      <w:r>
        <w:rPr>
          <w:rFonts w:hint="eastAsia" w:ascii="仿宋" w:hAnsi="仿宋" w:eastAsia="仿宋" w:cs="Times New Roman"/>
          <w:color w:val="auto"/>
          <w:sz w:val="24"/>
          <w:szCs w:val="21"/>
          <w:lang w:eastAsia="zh-CN"/>
        </w:rPr>
        <w:t>。</w:t>
      </w:r>
      <w:r>
        <w:rPr>
          <w:rFonts w:hint="eastAsia" w:ascii="仿宋" w:hAnsi="仿宋" w:eastAsia="仿宋" w:cs="Times New Roman"/>
          <w:color w:val="auto"/>
          <w:sz w:val="24"/>
          <w:szCs w:val="21"/>
          <w:lang w:val="en-US" w:eastAsia="zh-CN"/>
        </w:rPr>
        <w:t>乙方若积极配合甲方调查，可减轻乙方所承担的责任。</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 xml:space="preserve"> （以下无正文，为签署栏）</w:t>
      </w:r>
    </w:p>
    <w:p>
      <w:pPr>
        <w:spacing w:line="240" w:lineRule="atLeast"/>
        <w:rPr>
          <w:rFonts w:hint="eastAsia" w:ascii="仿宋" w:hAnsi="仿宋" w:eastAsia="仿宋" w:cs="Times New Roman"/>
          <w:color w:val="auto"/>
          <w:sz w:val="24"/>
          <w:szCs w:val="21"/>
        </w:rPr>
      </w:pP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 xml:space="preserve">甲方： 重庆市第七人民医院     </w:t>
      </w:r>
      <w:r>
        <w:rPr>
          <w:rFonts w:hint="eastAsia" w:ascii="仿宋" w:hAnsi="仿宋" w:eastAsia="仿宋" w:cs="Times New Roman"/>
          <w:color w:val="auto"/>
          <w:sz w:val="24"/>
          <w:szCs w:val="21"/>
          <w:lang w:val="en-US" w:eastAsia="zh-CN"/>
        </w:rPr>
        <w:t xml:space="preserve">            </w:t>
      </w:r>
      <w:r>
        <w:rPr>
          <w:rFonts w:hint="eastAsia" w:ascii="仿宋" w:hAnsi="仿宋" w:eastAsia="仿宋" w:cs="Times New Roman"/>
          <w:color w:val="auto"/>
          <w:sz w:val="24"/>
          <w:szCs w:val="21"/>
        </w:rPr>
        <w:t xml:space="preserve">   乙方：</w:t>
      </w:r>
    </w:p>
    <w:p>
      <w:pPr>
        <w:spacing w:line="240" w:lineRule="atLeast"/>
        <w:rPr>
          <w:rFonts w:hint="eastAsia" w:ascii="仿宋" w:hAnsi="仿宋" w:eastAsia="仿宋" w:cs="Times New Roman"/>
          <w:color w:val="auto"/>
          <w:sz w:val="24"/>
          <w:szCs w:val="21"/>
        </w:rPr>
      </w:pPr>
      <w:r>
        <w:rPr>
          <w:rFonts w:hint="eastAsia" w:ascii="仿宋" w:hAnsi="仿宋" w:eastAsia="仿宋" w:cs="Times New Roman"/>
          <w:color w:val="auto"/>
          <w:sz w:val="24"/>
          <w:szCs w:val="21"/>
        </w:rPr>
        <w:t xml:space="preserve">                </w:t>
      </w:r>
    </w:p>
    <w:p>
      <w:pPr>
        <w:spacing w:line="240" w:lineRule="atLeast"/>
        <w:rPr>
          <w:rFonts w:hint="default" w:ascii="仿宋" w:hAnsi="仿宋" w:eastAsia="仿宋" w:cs="Times New Roman"/>
          <w:color w:val="auto"/>
          <w:sz w:val="24"/>
          <w:szCs w:val="21"/>
          <w:lang w:val="en-US" w:eastAsia="zh-CN"/>
        </w:rPr>
      </w:pPr>
      <w:r>
        <w:rPr>
          <w:rFonts w:hint="eastAsia" w:ascii="仿宋" w:hAnsi="仿宋" w:eastAsia="仿宋" w:cs="Times New Roman"/>
          <w:color w:val="auto"/>
          <w:sz w:val="24"/>
          <w:szCs w:val="21"/>
          <w:lang w:val="en-US" w:eastAsia="zh-CN"/>
        </w:rPr>
        <w:t xml:space="preserve">  </w:t>
      </w:r>
    </w:p>
    <w:p>
      <w:pPr>
        <w:spacing w:line="240" w:lineRule="atLeast"/>
        <w:ind w:firstLine="960" w:firstLineChars="400"/>
        <w:rPr>
          <w:rFonts w:hint="eastAsia" w:ascii="仿宋" w:hAnsi="仿宋" w:eastAsia="仿宋" w:cs="Times New Roman"/>
          <w:color w:val="auto"/>
          <w:sz w:val="24"/>
          <w:szCs w:val="21"/>
        </w:rPr>
      </w:pPr>
      <w:r>
        <w:rPr>
          <w:rFonts w:hint="eastAsia" w:ascii="仿宋" w:hAnsi="仿宋" w:eastAsia="仿宋" w:cs="Times New Roman"/>
          <w:color w:val="auto"/>
          <w:sz w:val="24"/>
          <w:szCs w:val="21"/>
        </w:rPr>
        <w:t xml:space="preserve">年       月      日       </w:t>
      </w:r>
      <w:r>
        <w:rPr>
          <w:rFonts w:hint="eastAsia" w:ascii="仿宋" w:hAnsi="仿宋" w:eastAsia="仿宋" w:cs="Times New Roman"/>
          <w:color w:val="auto"/>
          <w:sz w:val="24"/>
          <w:szCs w:val="21"/>
          <w:lang w:val="en-US" w:eastAsia="zh-CN"/>
        </w:rPr>
        <w:t xml:space="preserve">             </w:t>
      </w:r>
      <w:r>
        <w:rPr>
          <w:rFonts w:hint="eastAsia" w:ascii="仿宋" w:hAnsi="仿宋" w:eastAsia="仿宋" w:cs="Times New Roman"/>
          <w:color w:val="auto"/>
          <w:sz w:val="24"/>
          <w:szCs w:val="21"/>
        </w:rPr>
        <w:t xml:space="preserve">     年       月      日</w:t>
      </w:r>
    </w:p>
    <w:p>
      <w:pPr>
        <w:spacing w:line="500" w:lineRule="exact"/>
        <w:ind w:firstLine="480" w:firstLineChars="200"/>
        <w:rPr>
          <w:rFonts w:hint="eastAsia" w:ascii="仿宋" w:hAnsi="仿宋" w:eastAsia="仿宋"/>
          <w:color w:val="auto"/>
          <w:sz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p>
    <w:p>
      <w:pPr>
        <w:spacing w:line="400" w:lineRule="exact"/>
        <w:rPr>
          <w:rFonts w:hint="eastAsia" w:ascii="方正仿宋_GBK" w:hAnsi="方正仿宋_GBK" w:eastAsia="方正仿宋_GBK" w:cs="方正仿宋_GBK"/>
          <w:color w:val="auto"/>
          <w:szCs w:val="28"/>
        </w:rPr>
      </w:pPr>
    </w:p>
    <w:p>
      <w:pPr>
        <w:pStyle w:val="3"/>
        <w:spacing w:line="360" w:lineRule="auto"/>
        <w:jc w:val="center"/>
        <w:rPr>
          <w:rFonts w:hint="eastAsia" w:ascii="方正小标宋_GBK" w:hAnsi="宋体" w:eastAsia="方正小标宋_GBK"/>
          <w:b/>
          <w:color w:val="auto"/>
          <w:sz w:val="36"/>
          <w:szCs w:val="30"/>
        </w:rPr>
      </w:pPr>
      <w:bookmarkStart w:id="71" w:name="_Toc2636"/>
      <w:r>
        <w:rPr>
          <w:rFonts w:hint="eastAsia" w:ascii="方正小标宋_GBK" w:hAnsi="宋体" w:eastAsia="方正小标宋_GBK"/>
          <w:b/>
          <w:color w:val="auto"/>
          <w:sz w:val="36"/>
          <w:szCs w:val="30"/>
        </w:rPr>
        <w:t>第七篇  响应文件编制要求</w:t>
      </w:r>
      <w:bookmarkEnd w:id="71"/>
    </w:p>
    <w:p>
      <w:pPr>
        <w:spacing w:line="520" w:lineRule="exact"/>
        <w:ind w:firstLine="480" w:firstLineChars="200"/>
        <w:jc w:val="center"/>
        <w:rPr>
          <w:color w:val="auto"/>
        </w:rPr>
      </w:pPr>
      <w:r>
        <w:rPr>
          <w:rFonts w:hint="eastAsia" w:ascii="方正仿宋_GBK" w:hAnsi="仿宋" w:eastAsia="方正仿宋_GBK" w:cs="仿宋"/>
          <w:color w:val="auto"/>
          <w:kern w:val="0"/>
          <w:sz w:val="24"/>
          <w:szCs w:val="28"/>
        </w:rPr>
        <w:t>（请按本篇要求提供，但不限于以下格式内容）</w:t>
      </w:r>
    </w:p>
    <w:p>
      <w:pPr>
        <w:pStyle w:val="4"/>
        <w:rPr>
          <w:rFonts w:hint="eastAsia" w:ascii="方正仿宋_GBK" w:hAnsi="方正仿宋_GBK" w:eastAsia="方正仿宋_GBK" w:cs="方正仿宋_GBK"/>
          <w:color w:val="auto"/>
          <w:sz w:val="24"/>
          <w:szCs w:val="24"/>
        </w:rPr>
      </w:pPr>
      <w:bookmarkStart w:id="72" w:name="_Toc26027"/>
      <w:r>
        <w:rPr>
          <w:rFonts w:hint="eastAsia" w:ascii="方正仿宋_GBK" w:hAnsi="方正仿宋_GBK" w:eastAsia="方正仿宋_GBK" w:cs="方正仿宋_GBK"/>
          <w:color w:val="auto"/>
          <w:sz w:val="24"/>
          <w:szCs w:val="24"/>
        </w:rPr>
        <w:t>一、价格部分</w:t>
      </w:r>
      <w:bookmarkEnd w:id="72"/>
    </w:p>
    <w:p>
      <w:pPr>
        <w:spacing w:line="44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竞争性磋商报价函</w:t>
      </w:r>
    </w:p>
    <w:p>
      <w:pPr>
        <w:pStyle w:val="4"/>
        <w:rPr>
          <w:rFonts w:hint="eastAsia" w:ascii="方正仿宋_GBK" w:hAnsi="方正仿宋_GBK" w:eastAsia="方正仿宋_GBK" w:cs="方正仿宋_GBK"/>
          <w:color w:val="auto"/>
          <w:sz w:val="24"/>
          <w:szCs w:val="24"/>
        </w:rPr>
      </w:pPr>
      <w:bookmarkStart w:id="73" w:name="_Toc4152"/>
      <w:r>
        <w:rPr>
          <w:rFonts w:hint="eastAsia" w:ascii="方正仿宋_GBK" w:hAnsi="方正仿宋_GBK" w:eastAsia="方正仿宋_GBK" w:cs="方正仿宋_GBK"/>
          <w:color w:val="auto"/>
          <w:sz w:val="24"/>
          <w:szCs w:val="24"/>
        </w:rPr>
        <w:t>二、</w:t>
      </w:r>
      <w:bookmarkEnd w:id="73"/>
      <w:r>
        <w:rPr>
          <w:rFonts w:hint="eastAsia" w:ascii="方正仿宋_GBK" w:hAnsi="方正仿宋_GBK" w:eastAsia="方正仿宋_GBK" w:cs="方正仿宋_GBK"/>
          <w:color w:val="auto"/>
          <w:sz w:val="24"/>
          <w:szCs w:val="24"/>
        </w:rPr>
        <w:t>技术（服务）部分</w:t>
      </w:r>
    </w:p>
    <w:p>
      <w:pPr>
        <w:spacing w:line="520" w:lineRule="exact"/>
        <w:ind w:firstLine="480" w:firstLineChars="200"/>
        <w:jc w:val="left"/>
        <w:rPr>
          <w:rFonts w:ascii="方正仿宋_GBK" w:hAnsi="仿宋" w:eastAsia="方正仿宋_GBK" w:cs="仿宋"/>
          <w:color w:val="auto"/>
          <w:kern w:val="0"/>
          <w:sz w:val="24"/>
          <w:szCs w:val="28"/>
        </w:rPr>
      </w:pPr>
      <w:bookmarkStart w:id="74" w:name="_Toc1346"/>
      <w:r>
        <w:rPr>
          <w:rFonts w:hint="eastAsia" w:ascii="方正仿宋_GBK" w:hAnsi="仿宋" w:eastAsia="方正仿宋_GBK" w:cs="仿宋"/>
          <w:color w:val="auto"/>
          <w:kern w:val="0"/>
          <w:sz w:val="24"/>
          <w:szCs w:val="28"/>
        </w:rPr>
        <w:t>（一）技术响应偏离表</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（二）技术方案及适用性</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（三）其他响应竞争性磋商文件提供的技术文件</w:t>
      </w:r>
    </w:p>
    <w:p>
      <w:pPr>
        <w:pStyle w:val="4"/>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三、商务部分</w:t>
      </w:r>
      <w:bookmarkEnd w:id="74"/>
      <w:r>
        <w:rPr>
          <w:rFonts w:hint="eastAsia" w:ascii="方正仿宋_GBK" w:hAnsi="方正仿宋_GBK" w:eastAsia="方正仿宋_GBK" w:cs="方正仿宋_GBK"/>
          <w:color w:val="auto"/>
          <w:sz w:val="24"/>
          <w:szCs w:val="24"/>
        </w:rPr>
        <w:t>（格式模板，请以前篇商务要求为准）</w:t>
      </w:r>
    </w:p>
    <w:p>
      <w:pPr>
        <w:spacing w:line="520" w:lineRule="exact"/>
        <w:ind w:firstLine="480" w:firstLineChars="200"/>
        <w:jc w:val="left"/>
        <w:rPr>
          <w:rFonts w:ascii="方正仿宋_GBK" w:hAnsi="仿宋" w:eastAsia="方正仿宋_GBK" w:cs="仿宋"/>
          <w:color w:val="auto"/>
          <w:kern w:val="0"/>
          <w:sz w:val="24"/>
          <w:szCs w:val="28"/>
        </w:rPr>
      </w:pPr>
      <w:bookmarkStart w:id="75" w:name="_Toc2055"/>
      <w:r>
        <w:rPr>
          <w:rFonts w:hint="eastAsia" w:ascii="方正仿宋_GBK" w:hAnsi="仿宋" w:eastAsia="方正仿宋_GBK" w:cs="仿宋"/>
          <w:color w:val="auto"/>
          <w:kern w:val="0"/>
          <w:sz w:val="24"/>
          <w:szCs w:val="28"/>
        </w:rPr>
        <w:t>（一）商务要求响应情况</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（二）商务响应偏离表</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（三）质保期</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（四）综合实力</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（五）售后服务能力</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（六）业绩</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（七）培训</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（八）其他响应竞争性磋商文件提供的商务文件</w:t>
      </w:r>
    </w:p>
    <w:p>
      <w:pPr>
        <w:pStyle w:val="4"/>
        <w:rPr>
          <w:color w:val="auto"/>
        </w:rPr>
      </w:pPr>
      <w:bookmarkStart w:id="76" w:name="_Toc29922"/>
      <w:bookmarkStart w:id="77" w:name="_Toc15693"/>
      <w:bookmarkStart w:id="78" w:name="_Toc17364"/>
      <w:bookmarkStart w:id="79" w:name="_Toc26230"/>
      <w:bookmarkStart w:id="80" w:name="_Toc30182"/>
      <w:bookmarkStart w:id="81" w:name="_Toc12818"/>
      <w:bookmarkStart w:id="82" w:name="_Toc30328"/>
      <w:bookmarkStart w:id="83" w:name="_Toc20217"/>
      <w:r>
        <w:rPr>
          <w:rFonts w:hint="eastAsia"/>
          <w:color w:val="auto"/>
        </w:rPr>
        <w:t>四、其他文件</w:t>
      </w:r>
      <w:bookmarkEnd w:id="76"/>
      <w:bookmarkEnd w:id="77"/>
      <w:bookmarkEnd w:id="78"/>
      <w:bookmarkEnd w:id="79"/>
      <w:bookmarkEnd w:id="80"/>
      <w:bookmarkEnd w:id="81"/>
      <w:bookmarkEnd w:id="82"/>
      <w:bookmarkEnd w:id="83"/>
    </w:p>
    <w:p>
      <w:pPr>
        <w:spacing w:line="520" w:lineRule="exact"/>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仿宋" w:eastAsia="方正仿宋_GBK" w:cs="仿宋"/>
          <w:color w:val="auto"/>
          <w:kern w:val="0"/>
          <w:sz w:val="24"/>
          <w:szCs w:val="28"/>
        </w:rPr>
        <w:t>（一）其他与项目有关的资料（自附）</w:t>
      </w:r>
    </w:p>
    <w:p>
      <w:pPr>
        <w:pStyle w:val="4"/>
        <w:rPr>
          <w:rFonts w:hint="eastAsia"/>
          <w:color w:val="auto"/>
        </w:rPr>
      </w:pPr>
      <w:r>
        <w:rPr>
          <w:rFonts w:hint="eastAsia"/>
          <w:color w:val="auto"/>
        </w:rPr>
        <w:t>五、资格条件及其他</w:t>
      </w:r>
      <w:bookmarkEnd w:id="75"/>
    </w:p>
    <w:p>
      <w:pPr>
        <w:spacing w:line="520" w:lineRule="exact"/>
        <w:ind w:firstLine="480" w:firstLineChars="200"/>
        <w:jc w:val="left"/>
        <w:rPr>
          <w:rFonts w:ascii="方正仿宋_GBK" w:hAnsi="仿宋" w:eastAsia="方正仿宋_GBK" w:cs="仿宋"/>
          <w:color w:val="auto"/>
          <w:kern w:val="0"/>
          <w:sz w:val="24"/>
          <w:szCs w:val="28"/>
        </w:rPr>
      </w:pPr>
      <w:bookmarkStart w:id="84" w:name="_Toc23104"/>
      <w:r>
        <w:rPr>
          <w:rFonts w:hint="eastAsia" w:ascii="方正仿宋_GBK" w:hAnsi="仿宋" w:eastAsia="方正仿宋_GBK" w:cs="仿宋"/>
          <w:color w:val="auto"/>
          <w:kern w:val="0"/>
          <w:sz w:val="24"/>
          <w:szCs w:val="28"/>
        </w:rPr>
        <w:t>（一）营业执照（副本）或事业单位法人证书（副本）或个体工商户营业执照或有效的自然人身份证明复印件</w:t>
      </w:r>
    </w:p>
    <w:p>
      <w:pPr>
        <w:spacing w:line="500" w:lineRule="exact"/>
        <w:ind w:firstLine="480" w:firstLineChars="200"/>
        <w:rPr>
          <w:color w:val="auto"/>
          <w:sz w:val="24"/>
        </w:rPr>
      </w:pPr>
      <w:r>
        <w:rPr>
          <w:rFonts w:hint="eastAsia" w:ascii="方正仿宋_GBK" w:hAnsi="方正仿宋_GBK" w:eastAsia="方正仿宋_GBK" w:cs="方正仿宋_GBK"/>
          <w:color w:val="auto"/>
          <w:sz w:val="24"/>
          <w:szCs w:val="28"/>
        </w:rPr>
        <w:t>说明：供应商按“多证合一”登记制度办理营业执照的，组织机构代码证和税务登记证以供应商所提供的法人营业执照（副本）复印件为准。</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（二）组织机构代码证复印件</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（三）法定代表人身份证明书（格式）</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（四）法定代表人授权委托书（格式）</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（五）提供诚信声明（格式）</w:t>
      </w:r>
    </w:p>
    <w:bookmarkEnd w:id="84"/>
    <w:p>
      <w:pPr>
        <w:spacing w:line="440" w:lineRule="exact"/>
        <w:ind w:firstLine="482" w:firstLineChars="200"/>
        <w:rPr>
          <w:rFonts w:hint="eastAsia" w:ascii="方正仿宋_GBK" w:hAnsi="宋体" w:eastAsia="方正仿宋_GBK"/>
          <w:b/>
          <w:bCs/>
          <w:color w:val="auto"/>
          <w:sz w:val="24"/>
          <w:szCs w:val="24"/>
        </w:rPr>
      </w:pPr>
      <w:bookmarkStart w:id="85" w:name="_Toc54861264"/>
      <w:bookmarkStart w:id="86" w:name="_Toc283382454"/>
      <w:bookmarkStart w:id="87" w:name="_Toc16683591"/>
      <w:bookmarkStart w:id="88" w:name="_Toc342913419"/>
      <w:bookmarkStart w:id="89" w:name="_Toc12789073"/>
      <w:bookmarkStart w:id="90" w:name="_Toc313888360"/>
      <w:bookmarkStart w:id="91" w:name="_Toc313008356"/>
    </w:p>
    <w:p>
      <w:pPr>
        <w:spacing w:line="440" w:lineRule="exact"/>
        <w:rPr>
          <w:rFonts w:hint="eastAsia" w:ascii="方正仿宋_GBK" w:hAnsi="宋体" w:eastAsia="方正仿宋_GBK"/>
          <w:b/>
          <w:bCs/>
          <w:color w:val="auto"/>
          <w:sz w:val="24"/>
          <w:szCs w:val="24"/>
        </w:rPr>
      </w:pPr>
    </w:p>
    <w:p>
      <w:pPr>
        <w:spacing w:line="440" w:lineRule="exact"/>
        <w:ind w:firstLine="482" w:firstLineChars="200"/>
        <w:rPr>
          <w:rFonts w:hint="eastAsia" w:ascii="方正仿宋_GBK" w:hAnsi="宋体" w:eastAsia="方正仿宋_GBK"/>
          <w:b/>
          <w:bCs/>
          <w:color w:val="auto"/>
          <w:sz w:val="24"/>
          <w:szCs w:val="24"/>
        </w:rPr>
      </w:pPr>
    </w:p>
    <w:p>
      <w:pPr>
        <w:spacing w:line="440" w:lineRule="exact"/>
        <w:ind w:firstLine="482"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br w:type="page"/>
      </w:r>
      <w:r>
        <w:rPr>
          <w:rFonts w:hint="eastAsia" w:ascii="方正仿宋_GBK" w:hAnsi="宋体" w:eastAsia="方正仿宋_GBK"/>
          <w:b/>
          <w:bCs/>
          <w:color w:val="auto"/>
          <w:sz w:val="24"/>
          <w:szCs w:val="24"/>
        </w:rPr>
        <w:t>一、经济部分</w:t>
      </w:r>
      <w:bookmarkEnd w:id="85"/>
    </w:p>
    <w:p>
      <w:pPr>
        <w:snapToGrid w:val="0"/>
        <w:spacing w:line="5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color w:val="auto"/>
          <w:sz w:val="24"/>
          <w:szCs w:val="24"/>
        </w:rPr>
        <w:t>（一）磋商报价函</w:t>
      </w:r>
    </w:p>
    <w:p>
      <w:pPr>
        <w:snapToGrid w:val="0"/>
        <w:spacing w:line="500" w:lineRule="exact"/>
        <w:ind w:firstLine="480" w:firstLineChars="200"/>
        <w:jc w:val="center"/>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磋商报价函</w:t>
      </w:r>
    </w:p>
    <w:p>
      <w:pPr>
        <w:pStyle w:val="36"/>
        <w:spacing w:line="500" w:lineRule="exact"/>
        <w:rPr>
          <w:rFonts w:hint="eastAsia"/>
          <w:color w:val="auto"/>
        </w:rPr>
      </w:pPr>
    </w:p>
    <w:p>
      <w:pPr>
        <w:snapToGrid w:val="0"/>
        <w:spacing w:line="500" w:lineRule="exact"/>
        <w:ind w:firstLine="480" w:firstLineChars="200"/>
        <w:rPr>
          <w:rFonts w:hint="eastAsia" w:ascii="方正仿宋_GBK" w:hAnsi="宋体" w:eastAsia="方正仿宋_GBK"/>
          <w:color w:val="auto"/>
          <w:sz w:val="24"/>
          <w:szCs w:val="24"/>
          <w:u w:val="single"/>
        </w:rPr>
      </w:pPr>
      <w:r>
        <w:rPr>
          <w:rFonts w:hint="eastAsia" w:ascii="方正仿宋_GBK" w:hAnsi="宋体" w:eastAsia="方正仿宋_GBK"/>
          <w:color w:val="auto"/>
          <w:sz w:val="24"/>
          <w:szCs w:val="24"/>
          <w:u w:val="single"/>
        </w:rPr>
        <w:t xml:space="preserve">                         </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（磋商项目名称）的竞争性磋商文件，经详细研究，决定参加该磋商项目</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（项目编号）的竞争磋商。</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1.愿意按照竞争性磋商文件中的一切要求，提供本项目的内容，知悉本项目采购预算</w:t>
      </w:r>
      <w:r>
        <w:rPr>
          <w:rFonts w:hint="eastAsia" w:ascii="方正仿宋_GBK" w:hAnsi="宋体" w:eastAsia="方正仿宋_GBK"/>
          <w:color w:val="auto"/>
          <w:sz w:val="24"/>
          <w:szCs w:val="24"/>
          <w:u w:val="none"/>
        </w:rPr>
        <w:t>为</w:t>
      </w:r>
      <w:r>
        <w:rPr>
          <w:rFonts w:hint="eastAsia" w:ascii="方正仿宋_GBK" w:hAnsi="宋体" w:eastAsia="方正仿宋_GBK"/>
          <w:color w:val="auto"/>
          <w:sz w:val="24"/>
          <w:szCs w:val="24"/>
          <w:u w:val="single"/>
          <w:lang w:val="en-US" w:eastAsia="zh-CN"/>
        </w:rPr>
        <w:t xml:space="preserve">                 </w:t>
      </w:r>
      <w:r>
        <w:rPr>
          <w:rFonts w:hint="eastAsia" w:ascii="方正仿宋_GBK" w:hAnsi="宋体" w:eastAsia="方正仿宋_GBK"/>
          <w:color w:val="auto"/>
          <w:sz w:val="24"/>
          <w:szCs w:val="24"/>
        </w:rPr>
        <w:t>元。我方的初始单价报价为：</w:t>
      </w:r>
      <w:r>
        <w:rPr>
          <w:rFonts w:hint="eastAsia" w:ascii="方正仿宋_GBK" w:hAnsi="宋体" w:eastAsia="方正仿宋_GBK"/>
          <w:color w:val="auto"/>
          <w:sz w:val="24"/>
          <w:szCs w:val="24"/>
          <w:u w:val="single"/>
          <w:lang w:val="en-US" w:eastAsia="zh-CN"/>
        </w:rPr>
        <w:t xml:space="preserve">                 元</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 xml:space="preserve">大写金额：                     </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以我公司最后报价为准。</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2.我方现提交的响应文件为：响应文件正本1份，副本1份。</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3.我方承诺：本次磋商的有效期为90天。</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4.我方完全理解和接受贵方竞争性磋商文件的一切规定和要求及磋商评审办法。</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5.在整个竞争性磋商过程中，我方若有违规行为，接受按照《中华人民共和国政府采购法》和《竞争性磋商文件》之规定给予惩罚。</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6.我方若成为成交供应商，将按照最终磋商结果签订合同，并且严格履行合同义务。本承诺函将成为合同不可分割的一部分，与合同具有同等的法律效力。</w:t>
      </w:r>
    </w:p>
    <w:p>
      <w:pPr>
        <w:snapToGrid w:val="0"/>
        <w:spacing w:line="5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7.我方理解，最低报价不是成交的唯一条件。</w:t>
      </w:r>
    </w:p>
    <w:p>
      <w:pPr>
        <w:snapToGrid w:val="0"/>
        <w:spacing w:line="500" w:lineRule="exact"/>
        <w:ind w:firstLine="480" w:firstLineChars="200"/>
        <w:rPr>
          <w:rFonts w:hint="eastAsia" w:ascii="方正仿宋_GBK" w:hAnsi="宋体" w:eastAsia="方正仿宋_GBK"/>
          <w:color w:val="auto"/>
          <w:sz w:val="24"/>
          <w:szCs w:val="24"/>
        </w:rPr>
      </w:pPr>
    </w:p>
    <w:bookmarkEnd w:id="86"/>
    <w:bookmarkEnd w:id="87"/>
    <w:bookmarkEnd w:id="88"/>
    <w:bookmarkEnd w:id="89"/>
    <w:bookmarkEnd w:id="90"/>
    <w:bookmarkEnd w:id="91"/>
    <w:p>
      <w:pPr>
        <w:wordWrap w:val="0"/>
        <w:spacing w:line="520" w:lineRule="exact"/>
        <w:ind w:firstLine="480" w:firstLineChars="200"/>
        <w:jc w:val="righ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 xml:space="preserve">供应商（公章）：            </w:t>
      </w:r>
    </w:p>
    <w:p>
      <w:pPr>
        <w:spacing w:line="520" w:lineRule="exact"/>
        <w:ind w:firstLine="6120" w:firstLineChars="2550"/>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 xml:space="preserve">年   月   日    </w:t>
      </w:r>
    </w:p>
    <w:p>
      <w:pPr>
        <w:widowControl/>
        <w:snapToGrid w:val="0"/>
        <w:spacing w:line="440" w:lineRule="exact"/>
        <w:jc w:val="left"/>
        <w:rPr>
          <w:rFonts w:hint="eastAsia" w:ascii="方正仿宋_GBK" w:hAnsi="宋体" w:eastAsia="方正仿宋_GBK"/>
          <w:color w:val="auto"/>
          <w:sz w:val="24"/>
          <w:szCs w:val="24"/>
        </w:rPr>
        <w:sectPr>
          <w:headerReference r:id="rId8" w:type="default"/>
          <w:footerReference r:id="rId9"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80" w:charSpace="-5735"/>
        </w:sectPr>
      </w:pPr>
    </w:p>
    <w:p>
      <w:pPr>
        <w:pStyle w:val="36"/>
        <w:rPr>
          <w:rFonts w:hint="eastAsia" w:ascii="方正仿宋_GBK" w:hAnsi="方正仿宋_GBK" w:eastAsia="方正仿宋_GBK" w:cs="方正仿宋_GBK"/>
          <w:color w:val="auto"/>
          <w:kern w:val="0"/>
          <w:szCs w:val="28"/>
          <w:lang w:val="en-US" w:eastAsia="zh-CN"/>
        </w:rPr>
      </w:pPr>
    </w:p>
    <w:p>
      <w:pPr>
        <w:rPr>
          <w:b/>
          <w:bCs/>
          <w:color w:val="auto"/>
        </w:rPr>
      </w:pPr>
      <w:r>
        <w:rPr>
          <w:rFonts w:hint="eastAsia"/>
          <w:b/>
          <w:bCs/>
          <w:color w:val="auto"/>
        </w:rPr>
        <w:t>二、技术部分</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（一）</w:t>
      </w:r>
      <w:r>
        <w:rPr>
          <w:rFonts w:hint="eastAsia" w:ascii="方正仿宋_GBK" w:hAnsi="仿宋" w:eastAsia="方正仿宋_GBK" w:cs="仿宋"/>
          <w:color w:val="auto"/>
          <w:kern w:val="0"/>
          <w:sz w:val="24"/>
          <w:szCs w:val="28"/>
          <w:lang w:val="en-US" w:eastAsia="zh-CN"/>
        </w:rPr>
        <w:t>技术部分</w:t>
      </w:r>
      <w:r>
        <w:rPr>
          <w:rFonts w:hint="eastAsia" w:ascii="方正仿宋_GBK" w:hAnsi="仿宋" w:eastAsia="方正仿宋_GBK" w:cs="仿宋"/>
          <w:color w:val="auto"/>
          <w:kern w:val="0"/>
          <w:sz w:val="24"/>
          <w:szCs w:val="28"/>
        </w:rPr>
        <w:t>响应情况</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lang w:val="en-US" w:eastAsia="zh-CN"/>
        </w:rPr>
        <w:t>服务方案</w:t>
      </w:r>
      <w:r>
        <w:rPr>
          <w:rFonts w:hint="eastAsia" w:ascii="方正仿宋_GBK" w:hAnsi="仿宋" w:eastAsia="方正仿宋_GBK" w:cs="仿宋"/>
          <w:color w:val="auto"/>
          <w:kern w:val="0"/>
          <w:sz w:val="24"/>
          <w:szCs w:val="28"/>
        </w:rPr>
        <w:t>等（格式自定）</w:t>
      </w:r>
    </w:p>
    <w:p>
      <w:pPr>
        <w:spacing w:line="520" w:lineRule="exact"/>
        <w:ind w:firstLine="480" w:firstLineChars="200"/>
        <w:jc w:val="left"/>
        <w:rPr>
          <w:rFonts w:hint="eastAsia" w:ascii="方正仿宋_GBK" w:hAnsi="仿宋" w:eastAsia="方正仿宋_GBK" w:cs="仿宋"/>
          <w:color w:val="auto"/>
          <w:kern w:val="0"/>
          <w:sz w:val="24"/>
          <w:szCs w:val="28"/>
        </w:rPr>
      </w:pPr>
    </w:p>
    <w:p>
      <w:pPr>
        <w:spacing w:line="520" w:lineRule="exact"/>
        <w:ind w:firstLine="480" w:firstLineChars="200"/>
        <w:jc w:val="left"/>
        <w:rPr>
          <w:rFonts w:hint="eastAsia" w:ascii="方正仿宋_GBK" w:hAnsi="仿宋" w:eastAsia="方正仿宋_GBK" w:cs="仿宋"/>
          <w:color w:val="auto"/>
          <w:kern w:val="0"/>
          <w:sz w:val="24"/>
          <w:szCs w:val="28"/>
          <w:lang w:eastAsia="zh-CN"/>
        </w:rPr>
      </w:pPr>
      <w:r>
        <w:rPr>
          <w:rFonts w:hint="eastAsia" w:ascii="方正仿宋_GBK" w:hAnsi="仿宋" w:eastAsia="方正仿宋_GBK" w:cs="仿宋"/>
          <w:color w:val="auto"/>
          <w:kern w:val="0"/>
          <w:sz w:val="24"/>
          <w:szCs w:val="28"/>
        </w:rPr>
        <w:t>（</w:t>
      </w:r>
      <w:r>
        <w:rPr>
          <w:rFonts w:hint="eastAsia" w:ascii="方正仿宋_GBK" w:hAnsi="仿宋" w:eastAsia="方正仿宋_GBK" w:cs="仿宋"/>
          <w:color w:val="auto"/>
          <w:kern w:val="0"/>
          <w:sz w:val="24"/>
          <w:szCs w:val="28"/>
          <w:lang w:val="en-US" w:eastAsia="zh-CN"/>
        </w:rPr>
        <w:t>二</w:t>
      </w:r>
      <w:r>
        <w:rPr>
          <w:rFonts w:hint="eastAsia" w:ascii="方正仿宋_GBK" w:hAnsi="仿宋" w:eastAsia="方正仿宋_GBK" w:cs="仿宋"/>
          <w:color w:val="auto"/>
          <w:kern w:val="0"/>
          <w:sz w:val="24"/>
          <w:szCs w:val="28"/>
        </w:rPr>
        <w:t>）技术响应偏离表</w:t>
      </w:r>
    </w:p>
    <w:p>
      <w:pPr>
        <w:pStyle w:val="36"/>
        <w:rPr>
          <w:rFonts w:hint="eastAsia"/>
          <w:color w:val="auto"/>
          <w:lang w:val="en-US" w:eastAsia="zh-CN"/>
        </w:rPr>
      </w:pPr>
    </w:p>
    <w:tbl>
      <w:tblPr>
        <w:tblStyle w:val="5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360"/>
        <w:gridCol w:w="1890"/>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lang w:val="en-US" w:eastAsia="zh-CN"/>
              </w:rPr>
              <w:t>服务</w:t>
            </w:r>
            <w:r>
              <w:rPr>
                <w:rFonts w:hint="eastAsia" w:ascii="仿宋_GB2312" w:hAnsi="仿宋_GB2312" w:eastAsia="仿宋_GB2312" w:cs="仿宋_GB2312"/>
                <w:color w:val="auto"/>
                <w:kern w:val="0"/>
                <w:sz w:val="24"/>
                <w:szCs w:val="22"/>
                <w:highlight w:val="none"/>
              </w:rPr>
              <w:t>名称</w:t>
            </w: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招标</w:t>
            </w:r>
            <w:r>
              <w:rPr>
                <w:rFonts w:hint="eastAsia" w:ascii="仿宋_GB2312" w:hAnsi="仿宋_GB2312" w:eastAsia="仿宋_GB2312" w:cs="仿宋_GB2312"/>
                <w:color w:val="auto"/>
                <w:kern w:val="0"/>
                <w:sz w:val="24"/>
                <w:szCs w:val="22"/>
                <w:highlight w:val="none"/>
                <w:lang w:eastAsia="zh-CN"/>
              </w:rPr>
              <w:t>服务</w:t>
            </w:r>
            <w:r>
              <w:rPr>
                <w:rFonts w:hint="eastAsia" w:ascii="仿宋_GB2312" w:hAnsi="仿宋_GB2312" w:eastAsia="仿宋_GB2312" w:cs="仿宋_GB2312"/>
                <w:color w:val="auto"/>
                <w:kern w:val="0"/>
                <w:sz w:val="24"/>
                <w:szCs w:val="22"/>
                <w:highlight w:val="none"/>
              </w:rPr>
              <w:t>技术参数</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投标</w:t>
            </w:r>
            <w:r>
              <w:rPr>
                <w:rFonts w:hint="eastAsia" w:ascii="仿宋_GB2312" w:hAnsi="仿宋_GB2312" w:eastAsia="仿宋_GB2312" w:cs="仿宋_GB2312"/>
                <w:color w:val="auto"/>
                <w:kern w:val="0"/>
                <w:sz w:val="24"/>
                <w:szCs w:val="22"/>
                <w:highlight w:val="none"/>
                <w:lang w:eastAsia="zh-CN"/>
              </w:rPr>
              <w:t>服务</w:t>
            </w:r>
            <w:r>
              <w:rPr>
                <w:rFonts w:hint="eastAsia" w:ascii="仿宋_GB2312" w:hAnsi="仿宋_GB2312" w:eastAsia="仿宋_GB2312" w:cs="仿宋_GB2312"/>
                <w:color w:val="auto"/>
                <w:kern w:val="0"/>
                <w:sz w:val="24"/>
                <w:szCs w:val="22"/>
                <w:highlight w:val="none"/>
              </w:rPr>
              <w:t>技术参数</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差异或响应</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差异说明</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询价响应文件对应页码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74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22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c>
          <w:tcPr>
            <w:tcW w:w="1363"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kern w:val="0"/>
                <w:sz w:val="24"/>
                <w:szCs w:val="22"/>
                <w:highlight w:val="none"/>
              </w:rPr>
            </w:pPr>
          </w:p>
        </w:tc>
      </w:tr>
    </w:tbl>
    <w:p>
      <w:pPr>
        <w:pStyle w:val="36"/>
        <w:rPr>
          <w:rFonts w:hint="eastAsia" w:ascii="方正仿宋_GBK" w:hAnsi="方正仿宋_GBK" w:eastAsia="方正仿宋_GBK" w:cs="方正仿宋_GBK"/>
          <w:color w:val="auto"/>
          <w:kern w:val="0"/>
          <w:szCs w:val="28"/>
          <w:lang w:val="en-US" w:eastAsia="zh-CN"/>
        </w:rPr>
      </w:pPr>
    </w:p>
    <w:p>
      <w:pPr>
        <w:spacing w:line="500" w:lineRule="exact"/>
        <w:ind w:firstLine="600" w:firstLineChars="250"/>
        <w:rPr>
          <w:rFonts w:ascii="方正仿宋_GBK" w:hAnsi="宋体" w:eastAsia="方正仿宋_GBK"/>
          <w:color w:val="auto"/>
          <w:sz w:val="24"/>
          <w:szCs w:val="28"/>
        </w:rPr>
      </w:pPr>
      <w:r>
        <w:rPr>
          <w:rFonts w:hint="eastAsia" w:ascii="方正仿宋_GBK" w:hAnsi="仿宋" w:eastAsia="方正仿宋_GBK" w:cs="仿宋"/>
          <w:color w:val="auto"/>
          <w:kern w:val="0"/>
          <w:sz w:val="24"/>
          <w:szCs w:val="28"/>
        </w:rPr>
        <w:t>供应商：                                      法人授权代表：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仿宋" w:eastAsia="方正仿宋_GBK" w:cs="仿宋"/>
          <w:color w:val="auto"/>
          <w:kern w:val="0"/>
          <w:sz w:val="24"/>
          <w:szCs w:val="28"/>
        </w:rPr>
        <w:t>（供应商公章）                                 （签字或盖章）</w:t>
      </w:r>
    </w:p>
    <w:p>
      <w:pPr>
        <w:tabs>
          <w:tab w:val="left" w:pos="6300"/>
        </w:tabs>
        <w:snapToGrid w:val="0"/>
        <w:spacing w:line="500" w:lineRule="exact"/>
        <w:ind w:firstLine="570"/>
        <w:rPr>
          <w:rFonts w:hint="eastAsia"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 xml:space="preserve">                                            年     月     日</w:t>
      </w:r>
    </w:p>
    <w:p>
      <w:pPr>
        <w:pStyle w:val="57"/>
        <w:rPr>
          <w:rFonts w:hint="eastAsia" w:ascii="方正仿宋_GBK" w:hAnsi="仿宋" w:eastAsia="方正仿宋_GBK" w:cs="仿宋"/>
          <w:color w:val="auto"/>
          <w:kern w:val="0"/>
          <w:sz w:val="24"/>
          <w:szCs w:val="28"/>
        </w:rPr>
      </w:pPr>
    </w:p>
    <w:p>
      <w:pPr>
        <w:rPr>
          <w:rFonts w:hint="eastAsia"/>
          <w:color w:val="auto"/>
        </w:rPr>
      </w:pPr>
    </w:p>
    <w:p>
      <w:pPr>
        <w:pStyle w:val="36"/>
        <w:rPr>
          <w:rFonts w:hint="eastAsia" w:ascii="方正仿宋_GBK" w:hAnsi="仿宋" w:eastAsia="方正仿宋_GBK" w:cs="仿宋"/>
          <w:b/>
          <w:bCs/>
          <w:color w:val="auto"/>
          <w:kern w:val="0"/>
          <w:sz w:val="24"/>
          <w:szCs w:val="28"/>
          <w:lang w:val="en-US" w:eastAsia="zh-CN" w:bidi="ar-SA"/>
        </w:rPr>
      </w:pPr>
      <w:r>
        <w:rPr>
          <w:rFonts w:hint="eastAsia" w:ascii="方正仿宋_GBK" w:hAnsi="仿宋" w:eastAsia="方正仿宋_GBK" w:cs="仿宋"/>
          <w:b/>
          <w:bCs/>
          <w:color w:val="auto"/>
          <w:kern w:val="0"/>
          <w:sz w:val="24"/>
          <w:szCs w:val="28"/>
          <w:lang w:val="en-US" w:eastAsia="zh-CN" w:bidi="ar-SA"/>
        </w:rPr>
        <w:t>填表说明：</w:t>
      </w:r>
    </w:p>
    <w:p>
      <w:pPr>
        <w:pStyle w:val="36"/>
        <w:rPr>
          <w:rFonts w:hint="eastAsia" w:ascii="方正仿宋_GBK" w:hAnsi="仿宋" w:eastAsia="方正仿宋_GBK" w:cs="仿宋"/>
          <w:b/>
          <w:bCs/>
          <w:color w:val="auto"/>
          <w:kern w:val="0"/>
          <w:sz w:val="24"/>
          <w:szCs w:val="28"/>
          <w:lang w:val="en-US" w:eastAsia="zh-CN" w:bidi="ar-SA"/>
        </w:rPr>
      </w:pPr>
      <w:r>
        <w:rPr>
          <w:rFonts w:hint="eastAsia" w:ascii="方正仿宋_GBK" w:hAnsi="仿宋" w:eastAsia="方正仿宋_GBK" w:cs="仿宋"/>
          <w:b/>
          <w:bCs/>
          <w:color w:val="auto"/>
          <w:kern w:val="0"/>
          <w:sz w:val="24"/>
          <w:szCs w:val="28"/>
          <w:lang w:val="en-US" w:eastAsia="zh-CN" w:bidi="ar-SA"/>
        </w:rPr>
        <w:t>1.【参数偏离情况】一栏填“响应”或“未响应”，如“未响应”，请在【参数说明】一栏中进行说明。</w:t>
      </w:r>
    </w:p>
    <w:p>
      <w:pPr>
        <w:pStyle w:val="36"/>
        <w:rPr>
          <w:rFonts w:hint="default" w:ascii="方正仿宋_GBK" w:hAnsi="仿宋" w:eastAsia="方正仿宋_GBK" w:cs="仿宋"/>
          <w:b/>
          <w:bCs/>
          <w:color w:val="auto"/>
          <w:kern w:val="0"/>
          <w:sz w:val="24"/>
          <w:szCs w:val="28"/>
          <w:lang w:val="en-US" w:eastAsia="zh-CN" w:bidi="ar-SA"/>
        </w:rPr>
      </w:pPr>
      <w:r>
        <w:rPr>
          <w:rFonts w:hint="eastAsia" w:ascii="方正仿宋_GBK" w:hAnsi="仿宋" w:eastAsia="方正仿宋_GBK" w:cs="仿宋"/>
          <w:b/>
          <w:bCs/>
          <w:color w:val="auto"/>
          <w:kern w:val="0"/>
          <w:sz w:val="24"/>
          <w:szCs w:val="28"/>
          <w:lang w:val="en-US" w:eastAsia="zh-CN" w:bidi="ar-SA"/>
        </w:rPr>
        <w:t>2.该表可扩展，并逐页签字或盖章。</w:t>
      </w:r>
    </w:p>
    <w:p>
      <w:pPr>
        <w:pStyle w:val="36"/>
        <w:rPr>
          <w:rFonts w:hint="eastAsia" w:ascii="方正仿宋_GBK" w:hAnsi="方正仿宋_GBK" w:eastAsia="方正仿宋_GBK" w:cs="方正仿宋_GBK"/>
          <w:color w:val="auto"/>
          <w:kern w:val="0"/>
          <w:szCs w:val="28"/>
          <w:lang w:val="en-US" w:eastAsia="zh-CN"/>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80" w:charSpace="-5735"/>
        </w:sectPr>
      </w:pPr>
    </w:p>
    <w:p>
      <w:pPr>
        <w:widowControl/>
        <w:wordWrap w:val="0"/>
        <w:spacing w:line="440" w:lineRule="exact"/>
        <w:jc w:val="both"/>
        <w:rPr>
          <w:rFonts w:hint="eastAsia" w:ascii="方正仿宋_GBK" w:hAnsi="宋体" w:eastAsia="方正仿宋_GBK"/>
          <w:color w:val="auto"/>
          <w:sz w:val="24"/>
          <w:szCs w:val="24"/>
        </w:rPr>
      </w:pPr>
    </w:p>
    <w:p>
      <w:pPr>
        <w:spacing w:line="520" w:lineRule="exact"/>
        <w:jc w:val="left"/>
        <w:rPr>
          <w:rFonts w:ascii="方正仿宋_GBK" w:hAnsi="宋体" w:eastAsia="方正仿宋_GBK"/>
          <w:color w:val="auto"/>
          <w:sz w:val="24"/>
          <w:szCs w:val="24"/>
        </w:rPr>
      </w:pPr>
      <w:bookmarkStart w:id="92" w:name="_Toc313008358"/>
      <w:bookmarkStart w:id="93" w:name="_Toc16683593"/>
      <w:bookmarkStart w:id="94" w:name="_Toc342913421"/>
      <w:bookmarkStart w:id="95" w:name="_Toc313888362"/>
      <w:r>
        <w:rPr>
          <w:rFonts w:hint="eastAsia" w:ascii="方正仿宋_GBK" w:hAnsi="宋体" w:eastAsia="方正仿宋_GBK"/>
          <w:b/>
          <w:bCs/>
          <w:color w:val="auto"/>
          <w:sz w:val="32"/>
          <w:szCs w:val="32"/>
        </w:rPr>
        <w:t>三、商务部分</w:t>
      </w:r>
      <w:bookmarkEnd w:id="92"/>
      <w:bookmarkEnd w:id="93"/>
      <w:bookmarkEnd w:id="94"/>
      <w:bookmarkEnd w:id="95"/>
    </w:p>
    <w:p>
      <w:pPr>
        <w:spacing w:line="520" w:lineRule="exact"/>
        <w:ind w:firstLine="480" w:firstLineChars="200"/>
        <w:jc w:val="left"/>
        <w:rPr>
          <w:rFonts w:ascii="方正仿宋_GBK" w:hAnsi="仿宋" w:eastAsia="方正仿宋_GBK" w:cs="仿宋"/>
          <w:color w:val="auto"/>
          <w:kern w:val="0"/>
          <w:sz w:val="24"/>
          <w:szCs w:val="28"/>
        </w:rPr>
      </w:pPr>
      <w:bookmarkStart w:id="96" w:name="_Toc342913422"/>
      <w:bookmarkStart w:id="97" w:name="_Toc313008359"/>
      <w:bookmarkStart w:id="98" w:name="_Toc16683594"/>
      <w:bookmarkStart w:id="99" w:name="_Toc313888363"/>
      <w:r>
        <w:rPr>
          <w:rFonts w:hint="eastAsia" w:ascii="方正仿宋_GBK" w:hAnsi="仿宋" w:eastAsia="方正仿宋_GBK" w:cs="仿宋"/>
          <w:color w:val="auto"/>
          <w:kern w:val="0"/>
          <w:sz w:val="24"/>
          <w:szCs w:val="28"/>
        </w:rPr>
        <w:t>（一）商务要求响应情况</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交货期、交货地点、验收方式等（格式自定）</w:t>
      </w:r>
    </w:p>
    <w:p>
      <w:pPr>
        <w:spacing w:line="500" w:lineRule="exact"/>
        <w:ind w:firstLine="640" w:firstLineChars="200"/>
        <w:rPr>
          <w:rFonts w:ascii="方正仿宋_GBK" w:hAnsi="方正仿宋_GBK" w:eastAsia="方正仿宋_GBK" w:cs="方正仿宋_GBK"/>
          <w:color w:val="auto"/>
          <w:sz w:val="32"/>
          <w:szCs w:val="32"/>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80" w:charSpace="-5735"/>
        </w:sectPr>
      </w:pP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（二）商务响应偏离表</w:t>
      </w:r>
    </w:p>
    <w:p>
      <w:pPr>
        <w:snapToGrid w:val="0"/>
        <w:spacing w:before="240" w:beforeLines="100" w:line="360" w:lineRule="auto"/>
        <w:jc w:val="center"/>
        <w:rPr>
          <w:rFonts w:ascii="方正仿宋_GBK" w:hAnsi="宋体" w:eastAsia="方正仿宋_GBK"/>
          <w:b/>
          <w:color w:val="auto"/>
          <w:sz w:val="36"/>
          <w:szCs w:val="40"/>
        </w:rPr>
      </w:pPr>
      <w:r>
        <w:rPr>
          <w:rFonts w:hint="eastAsia" w:ascii="方正仿宋_GBK" w:hAnsi="宋体" w:eastAsia="方正仿宋_GBK"/>
          <w:b/>
          <w:color w:val="auto"/>
          <w:sz w:val="36"/>
          <w:szCs w:val="40"/>
        </w:rPr>
        <w:t>商务响应偏离表</w:t>
      </w:r>
    </w:p>
    <w:p>
      <w:pPr>
        <w:snapToGrid w:val="0"/>
        <w:spacing w:line="360" w:lineRule="auto"/>
        <w:rPr>
          <w:color w:val="auto"/>
          <w:sz w:val="24"/>
        </w:rPr>
      </w:pPr>
      <w:r>
        <w:rPr>
          <w:rFonts w:hint="eastAsia" w:ascii="方正仿宋_GBK" w:hAnsi="宋体" w:eastAsia="方正仿宋_GBK"/>
          <w:color w:val="auto"/>
          <w:sz w:val="24"/>
          <w:szCs w:val="24"/>
        </w:rPr>
        <w:t>对于竞争性磋商文件的商务要求，如有任何偏离请如实填写下表：</w:t>
      </w:r>
    </w:p>
    <w:tbl>
      <w:tblPr>
        <w:tblStyle w:val="59"/>
        <w:tblW w:w="11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1866"/>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0" w:type="dxa"/>
            <w:noWrap w:val="0"/>
            <w:vAlign w:val="center"/>
          </w:tcPr>
          <w:p>
            <w:pPr>
              <w:spacing w:line="500" w:lineRule="exact"/>
              <w:jc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序号</w:t>
            </w:r>
          </w:p>
        </w:tc>
        <w:tc>
          <w:tcPr>
            <w:tcW w:w="3179" w:type="dxa"/>
            <w:noWrap w:val="0"/>
            <w:vAlign w:val="center"/>
          </w:tcPr>
          <w:p>
            <w:pPr>
              <w:spacing w:line="500" w:lineRule="exact"/>
              <w:jc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磋商项目需求</w:t>
            </w:r>
          </w:p>
        </w:tc>
        <w:tc>
          <w:tcPr>
            <w:tcW w:w="2434" w:type="dxa"/>
            <w:noWrap w:val="0"/>
            <w:vAlign w:val="center"/>
          </w:tcPr>
          <w:p>
            <w:pPr>
              <w:spacing w:line="500" w:lineRule="exact"/>
              <w:jc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响应情况</w:t>
            </w:r>
          </w:p>
        </w:tc>
        <w:tc>
          <w:tcPr>
            <w:tcW w:w="1866" w:type="dxa"/>
            <w:noWrap w:val="0"/>
            <w:vAlign w:val="center"/>
          </w:tcPr>
          <w:p>
            <w:pPr>
              <w:spacing w:line="500" w:lineRule="exact"/>
              <w:jc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偏离说明</w:t>
            </w:r>
          </w:p>
        </w:tc>
        <w:tc>
          <w:tcPr>
            <w:tcW w:w="2248" w:type="dxa"/>
            <w:noWrap w:val="0"/>
            <w:vAlign w:val="center"/>
          </w:tcPr>
          <w:p>
            <w:pPr>
              <w:spacing w:line="50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投标人</w:t>
            </w:r>
          </w:p>
          <w:p>
            <w:pPr>
              <w:spacing w:line="500" w:lineRule="exact"/>
              <w:jc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3179"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434"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1866"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248"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3179"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434"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1866"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248"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3179"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434"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1866"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248"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3179"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434"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1866"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248"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3179"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434"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1866"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248"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510"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3179"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434"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1866"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c>
          <w:tcPr>
            <w:tcW w:w="2248" w:type="dxa"/>
            <w:noWrap w:val="0"/>
            <w:vAlign w:val="center"/>
          </w:tcPr>
          <w:p>
            <w:pPr>
              <w:spacing w:line="500" w:lineRule="exact"/>
              <w:ind w:firstLine="440" w:firstLineChars="200"/>
              <w:jc w:val="center"/>
              <w:rPr>
                <w:rFonts w:ascii="方正仿宋_GBK" w:hAnsi="方正仿宋_GBK" w:eastAsia="方正仿宋_GBK" w:cs="方正仿宋_GBK"/>
                <w:color w:val="auto"/>
                <w:sz w:val="22"/>
                <w:szCs w:val="22"/>
              </w:rPr>
            </w:pPr>
          </w:p>
        </w:tc>
      </w:tr>
    </w:tbl>
    <w:p>
      <w:pPr>
        <w:spacing w:line="520" w:lineRule="exact"/>
        <w:ind w:firstLine="480" w:firstLineChars="200"/>
        <w:jc w:val="left"/>
        <w:rPr>
          <w:rFonts w:ascii="方正仿宋_GBK" w:hAnsi="仿宋" w:eastAsia="方正仿宋_GBK" w:cs="仿宋"/>
          <w:color w:val="auto"/>
          <w:kern w:val="0"/>
          <w:sz w:val="24"/>
          <w:szCs w:val="28"/>
        </w:rPr>
      </w:pPr>
    </w:p>
    <w:p>
      <w:pPr>
        <w:spacing w:line="500" w:lineRule="exact"/>
        <w:ind w:firstLine="600" w:firstLineChars="250"/>
        <w:rPr>
          <w:rFonts w:ascii="方正仿宋_GBK" w:hAnsi="宋体" w:eastAsia="方正仿宋_GBK"/>
          <w:color w:val="auto"/>
          <w:sz w:val="24"/>
          <w:szCs w:val="28"/>
        </w:rPr>
      </w:pPr>
      <w:r>
        <w:rPr>
          <w:rFonts w:hint="eastAsia" w:ascii="方正仿宋_GBK" w:hAnsi="仿宋" w:eastAsia="方正仿宋_GBK" w:cs="仿宋"/>
          <w:color w:val="auto"/>
          <w:kern w:val="0"/>
          <w:sz w:val="24"/>
          <w:szCs w:val="28"/>
        </w:rPr>
        <w:t>供应商：                                      法人授权代表：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仿宋" w:eastAsia="方正仿宋_GBK" w:cs="仿宋"/>
          <w:color w:val="auto"/>
          <w:kern w:val="0"/>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s="仿宋"/>
          <w:color w:val="auto"/>
          <w:kern w:val="0"/>
          <w:sz w:val="24"/>
          <w:szCs w:val="28"/>
        </w:rPr>
        <w:t xml:space="preserve">                                            年     月     日</w:t>
      </w:r>
    </w:p>
    <w:p>
      <w:pPr>
        <w:jc w:val="left"/>
        <w:rPr>
          <w:rFonts w:ascii="方正仿宋_GBK" w:hAnsi="仿宋" w:eastAsia="方正仿宋_GBK" w:cs="仿宋"/>
          <w:b/>
          <w:bCs/>
          <w:caps/>
          <w:color w:val="auto"/>
          <w:kern w:val="0"/>
          <w:sz w:val="20"/>
          <w:szCs w:val="28"/>
        </w:rPr>
      </w:pPr>
    </w:p>
    <w:p>
      <w:pPr>
        <w:jc w:val="left"/>
        <w:rPr>
          <w:rFonts w:ascii="方正仿宋_GBK" w:hAnsi="仿宋" w:eastAsia="方正仿宋_GBK" w:cs="仿宋"/>
          <w:b/>
          <w:bCs/>
          <w:caps/>
          <w:color w:val="auto"/>
          <w:kern w:val="0"/>
          <w:sz w:val="20"/>
          <w:szCs w:val="28"/>
        </w:rPr>
      </w:pPr>
    </w:p>
    <w:p>
      <w:pPr>
        <w:rPr>
          <w:rFonts w:ascii="方正仿宋_GBK" w:hAnsi="仿宋" w:eastAsia="方正仿宋_GBK" w:cs="仿宋"/>
          <w:color w:val="auto"/>
          <w:kern w:val="0"/>
          <w:sz w:val="24"/>
          <w:szCs w:val="28"/>
        </w:rPr>
      </w:pPr>
    </w:p>
    <w:p>
      <w:pPr>
        <w:jc w:val="left"/>
        <w:rPr>
          <w:rFonts w:ascii="方正仿宋_GBK" w:hAnsi="仿宋" w:eastAsia="方正仿宋_GBK" w:cs="仿宋"/>
          <w:b/>
          <w:bCs/>
          <w:caps/>
          <w:color w:val="auto"/>
          <w:kern w:val="0"/>
          <w:sz w:val="20"/>
          <w:szCs w:val="28"/>
        </w:rPr>
      </w:pPr>
    </w:p>
    <w:p>
      <w:pPr>
        <w:jc w:val="left"/>
        <w:rPr>
          <w:b/>
          <w:bCs/>
          <w:caps/>
          <w:color w:val="auto"/>
          <w:sz w:val="20"/>
        </w:rPr>
      </w:pP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注：</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1、本表即为对本项目“第三篇  项目商务要求”中所列服务要求逐条进行比较和响应；</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2、该表必须按照竞争性磋商要求逐条如实填写，根据响应情况在“差异说明”项填写正偏离或负偏离及原因，完全符合的填写“无差异”；</w:t>
      </w:r>
    </w:p>
    <w:p>
      <w:pPr>
        <w:spacing w:line="40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3、若“响应情况”栏中仅填写“无偏离”或“有偏离”等内容而未作实质性描述，该供应商将失去成为成交供应商的资格，仅保留其合格供应商的身份。</w:t>
      </w:r>
    </w:p>
    <w:p>
      <w:pPr>
        <w:pStyle w:val="4"/>
        <w:adjustRightInd w:val="0"/>
        <w:snapToGrid w:val="0"/>
        <w:spacing w:before="120" w:beforeLines="50" w:after="0" w:line="240" w:lineRule="exact"/>
        <w:ind w:firstLine="482" w:firstLineChars="200"/>
        <w:rPr>
          <w:rFonts w:hint="eastAsia" w:ascii="方正仿宋_GBK" w:hAnsi="仿宋" w:eastAsia="方正仿宋_GBK" w:cs="仿宋"/>
          <w:color w:val="auto"/>
          <w:kern w:val="0"/>
          <w:sz w:val="24"/>
          <w:szCs w:val="28"/>
        </w:rPr>
      </w:pPr>
    </w:p>
    <w:p>
      <w:pPr>
        <w:pStyle w:val="4"/>
        <w:adjustRightInd w:val="0"/>
        <w:snapToGrid w:val="0"/>
        <w:spacing w:before="120" w:beforeLines="50" w:after="0" w:line="240" w:lineRule="exact"/>
        <w:ind w:firstLine="482" w:firstLineChars="200"/>
        <w:rPr>
          <w:rFonts w:hint="eastAsia" w:ascii="方正仿宋_GBK" w:hAnsi="方正仿宋_GBK" w:eastAsia="方正仿宋_GBK" w:cs="方正仿宋_GBK"/>
          <w:color w:val="auto"/>
          <w:szCs w:val="32"/>
        </w:rPr>
      </w:pPr>
      <w:r>
        <w:rPr>
          <w:rFonts w:hint="eastAsia" w:ascii="方正仿宋_GBK" w:hAnsi="仿宋" w:eastAsia="方正仿宋_GBK" w:cs="仿宋"/>
          <w:color w:val="auto"/>
          <w:kern w:val="0"/>
          <w:sz w:val="24"/>
          <w:szCs w:val="28"/>
        </w:rPr>
        <w:t>4、该表可扩展，并逐页签字或盖章。</w:t>
      </w:r>
      <w:r>
        <w:rPr>
          <w:rFonts w:hint="eastAsia" w:ascii="方正仿宋_GBK" w:hAnsi="方正仿宋_GBK" w:eastAsia="方正仿宋_GBK" w:cs="方正仿宋_GBK"/>
          <w:color w:val="auto"/>
          <w:szCs w:val="32"/>
        </w:rPr>
        <w:br w:type="page"/>
      </w:r>
      <w:bookmarkEnd w:id="96"/>
      <w:bookmarkEnd w:id="97"/>
      <w:bookmarkEnd w:id="98"/>
      <w:bookmarkEnd w:id="99"/>
      <w:bookmarkStart w:id="100" w:name="_Toc28744"/>
      <w:bookmarkStart w:id="101" w:name="_Toc32198"/>
      <w:bookmarkStart w:id="102" w:name="_Toc27078"/>
      <w:bookmarkStart w:id="103" w:name="_Toc32354"/>
      <w:bookmarkStart w:id="104" w:name="_Toc4344"/>
      <w:bookmarkStart w:id="105" w:name="_Toc15642"/>
      <w:bookmarkStart w:id="106" w:name="_Toc2377"/>
      <w:bookmarkStart w:id="107" w:name="_Toc12077"/>
    </w:p>
    <w:p>
      <w:pPr>
        <w:pStyle w:val="4"/>
        <w:adjustRightInd w:val="0"/>
        <w:snapToGrid w:val="0"/>
        <w:spacing w:before="120" w:beforeLines="50" w:after="0" w:line="240" w:lineRule="exact"/>
        <w:rPr>
          <w:rFonts w:hint="eastAsia" w:ascii="方正仿宋_GBK" w:hAnsi="宋体" w:eastAsia="方正仿宋_GBK"/>
          <w:bCs/>
          <w:color w:val="auto"/>
          <w:szCs w:val="32"/>
        </w:rPr>
      </w:pPr>
      <w:r>
        <w:rPr>
          <w:rFonts w:hint="eastAsia" w:ascii="方正仿宋_GBK" w:hAnsi="宋体" w:eastAsia="方正仿宋_GBK"/>
          <w:bCs/>
          <w:color w:val="auto"/>
          <w:szCs w:val="32"/>
        </w:rPr>
        <w:t>四、其他文件</w:t>
      </w:r>
      <w:bookmarkEnd w:id="100"/>
      <w:bookmarkEnd w:id="101"/>
      <w:bookmarkEnd w:id="102"/>
      <w:bookmarkEnd w:id="103"/>
      <w:bookmarkEnd w:id="104"/>
      <w:bookmarkEnd w:id="105"/>
      <w:bookmarkEnd w:id="106"/>
      <w:bookmarkEnd w:id="107"/>
    </w:p>
    <w:p>
      <w:pPr>
        <w:spacing w:line="520" w:lineRule="exact"/>
        <w:ind w:firstLine="480" w:firstLineChars="200"/>
        <w:jc w:val="left"/>
        <w:rPr>
          <w:rFonts w:ascii="方正仿宋_GBK" w:hAnsi="仿宋" w:eastAsia="方正仿宋_GBK" w:cs="仿宋"/>
          <w:color w:val="auto"/>
          <w:kern w:val="0"/>
          <w:sz w:val="24"/>
          <w:szCs w:val="28"/>
        </w:rPr>
      </w:pPr>
      <w:bookmarkStart w:id="108" w:name="_Toc7340"/>
      <w:bookmarkStart w:id="109" w:name="_Toc10798"/>
      <w:bookmarkStart w:id="110" w:name="_Toc11508"/>
      <w:bookmarkStart w:id="111" w:name="_Toc18094"/>
      <w:r>
        <w:rPr>
          <w:rFonts w:hint="eastAsia" w:ascii="方正仿宋_GBK" w:hAnsi="仿宋" w:eastAsia="方正仿宋_GBK" w:cs="仿宋"/>
          <w:color w:val="auto"/>
          <w:kern w:val="0"/>
          <w:sz w:val="24"/>
          <w:szCs w:val="28"/>
          <w:lang w:val="en-US" w:eastAsia="zh-CN"/>
        </w:rPr>
        <w:t>1.售后、质量提供承诺函，格式自拟</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lang w:val="en-US" w:eastAsia="zh-CN"/>
        </w:rPr>
        <w:t>2.</w:t>
      </w:r>
      <w:r>
        <w:rPr>
          <w:rFonts w:hint="eastAsia" w:ascii="方正仿宋_GBK" w:hAnsi="仿宋" w:eastAsia="方正仿宋_GBK" w:cs="仿宋"/>
          <w:color w:val="auto"/>
          <w:kern w:val="0"/>
          <w:sz w:val="24"/>
          <w:szCs w:val="28"/>
        </w:rPr>
        <w:t>其他与项目有关的资料（自附）</w:t>
      </w:r>
      <w:bookmarkEnd w:id="108"/>
      <w:bookmarkEnd w:id="109"/>
      <w:bookmarkEnd w:id="110"/>
      <w:bookmarkEnd w:id="111"/>
    </w:p>
    <w:p>
      <w:pPr>
        <w:keepNext/>
        <w:keepLines/>
        <w:adjustRightInd w:val="0"/>
        <w:snapToGrid w:val="0"/>
        <w:spacing w:before="120" w:beforeLines="50" w:line="240" w:lineRule="exact"/>
        <w:outlineLvl w:val="1"/>
        <w:rPr>
          <w:rFonts w:hint="eastAsia" w:ascii="方正仿宋_GBK" w:hAnsi="宋体" w:eastAsia="方正仿宋_GBK"/>
          <w:b/>
          <w:bCs/>
          <w:color w:val="auto"/>
          <w:sz w:val="32"/>
          <w:szCs w:val="32"/>
        </w:rPr>
        <w:sectPr>
          <w:headerReference r:id="rId10" w:type="default"/>
          <w:foot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bookmarkStart w:id="112" w:name="_Toc30432"/>
      <w:bookmarkStart w:id="113" w:name="_Toc11174"/>
      <w:bookmarkStart w:id="114" w:name="_Toc14575"/>
      <w:bookmarkStart w:id="115" w:name="_Toc11151"/>
      <w:bookmarkStart w:id="116" w:name="_Toc31468"/>
      <w:bookmarkStart w:id="117" w:name="_Toc32670"/>
      <w:bookmarkStart w:id="118" w:name="_Toc2341"/>
      <w:bookmarkStart w:id="119" w:name="_Toc1595"/>
      <w:bookmarkStart w:id="120" w:name="_Toc21632"/>
    </w:p>
    <w:p>
      <w:pPr>
        <w:keepNext/>
        <w:keepLines/>
        <w:adjustRightInd w:val="0"/>
        <w:snapToGrid w:val="0"/>
        <w:spacing w:before="120" w:beforeLines="50" w:line="240" w:lineRule="exact"/>
        <w:outlineLvl w:val="1"/>
        <w:rPr>
          <w:rFonts w:hint="eastAsia" w:ascii="方正仿宋_GBK" w:hAnsi="宋体" w:eastAsia="方正仿宋_GBK"/>
          <w:b/>
          <w:bCs/>
          <w:color w:val="auto"/>
          <w:sz w:val="32"/>
          <w:szCs w:val="32"/>
        </w:rPr>
      </w:pPr>
      <w:r>
        <w:rPr>
          <w:rFonts w:hint="eastAsia" w:ascii="方正仿宋_GBK" w:hAnsi="宋体" w:eastAsia="方正仿宋_GBK"/>
          <w:b/>
          <w:bCs/>
          <w:color w:val="auto"/>
          <w:sz w:val="32"/>
          <w:szCs w:val="32"/>
        </w:rPr>
        <w:t>五、资格文件</w:t>
      </w:r>
      <w:bookmarkEnd w:id="112"/>
      <w:bookmarkEnd w:id="113"/>
      <w:bookmarkEnd w:id="114"/>
      <w:bookmarkEnd w:id="115"/>
      <w:bookmarkEnd w:id="116"/>
      <w:bookmarkEnd w:id="117"/>
      <w:bookmarkEnd w:id="118"/>
      <w:bookmarkEnd w:id="119"/>
      <w:bookmarkEnd w:id="120"/>
    </w:p>
    <w:p>
      <w:pPr>
        <w:ind w:firstLine="560" w:firstLineChars="200"/>
        <w:rPr>
          <w:color w:val="auto"/>
        </w:rPr>
      </w:pP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（一）营业执照（副本）或事业单位法人证书（副本）或个体工商户营业执照或有效的自然人身份证明复印件</w:t>
      </w:r>
    </w:p>
    <w:p>
      <w:pPr>
        <w:spacing w:line="520" w:lineRule="exact"/>
        <w:ind w:firstLine="480" w:firstLineChars="200"/>
        <w:jc w:val="left"/>
        <w:rPr>
          <w:rFonts w:ascii="方正仿宋_GBK" w:hAnsi="仿宋" w:eastAsia="方正仿宋_GBK" w:cs="仿宋"/>
          <w:color w:val="auto"/>
          <w:kern w:val="0"/>
          <w:sz w:val="24"/>
          <w:szCs w:val="28"/>
        </w:rPr>
      </w:pP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说明：供应商按“多证合一”登记制度办理营业执照的，组织机构代码证和税务登记证以供应商所提供的法人营业执照（副本）复印件为准。</w:t>
      </w:r>
    </w:p>
    <w:p>
      <w:pPr>
        <w:spacing w:line="520" w:lineRule="exact"/>
        <w:ind w:firstLine="480" w:firstLineChars="200"/>
        <w:jc w:val="left"/>
        <w:rPr>
          <w:rFonts w:ascii="方正仿宋_GBK" w:hAnsi="仿宋" w:eastAsia="方正仿宋_GBK" w:cs="仿宋"/>
          <w:color w:val="auto"/>
          <w:kern w:val="0"/>
          <w:sz w:val="24"/>
          <w:szCs w:val="28"/>
        </w:rPr>
      </w:pPr>
    </w:p>
    <w:p>
      <w:pPr>
        <w:spacing w:line="520" w:lineRule="exact"/>
        <w:ind w:firstLine="480" w:firstLineChars="200"/>
        <w:jc w:val="left"/>
        <w:rPr>
          <w:rFonts w:ascii="宋体" w:hAnsi="宋体"/>
          <w:bCs/>
          <w:color w:val="auto"/>
          <w:sz w:val="24"/>
        </w:rPr>
      </w:pPr>
      <w:r>
        <w:rPr>
          <w:rFonts w:hint="eastAsia" w:ascii="方正仿宋_GBK" w:hAnsi="仿宋" w:eastAsia="方正仿宋_GBK" w:cs="仿宋"/>
          <w:color w:val="auto"/>
          <w:kern w:val="0"/>
          <w:sz w:val="24"/>
          <w:szCs w:val="28"/>
        </w:rPr>
        <w:t>（二）组织机构代码证复印件</w:t>
      </w:r>
      <w:r>
        <w:rPr>
          <w:rFonts w:ascii="宋体" w:hAnsi="宋体"/>
          <w:bCs/>
          <w:color w:val="auto"/>
          <w:sz w:val="24"/>
        </w:rPr>
        <w:br w:type="page"/>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（三）法定代表人身份证明书（格式）</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jc w:val="left"/>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（采购人）：</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附：上述法定代表人住址：</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 xml:space="preserve">            身份证号码：</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 xml:space="preserve">              电    传：</w:t>
      </w:r>
    </w:p>
    <w:p>
      <w:pPr>
        <w:spacing w:line="520" w:lineRule="exact"/>
        <w:ind w:firstLine="480" w:firstLineChars="200"/>
        <w:jc w:val="left"/>
        <w:rPr>
          <w:rFonts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 xml:space="preserve">              网    址：</w:t>
      </w:r>
    </w:p>
    <w:p>
      <w:pPr>
        <w:spacing w:line="520" w:lineRule="exact"/>
        <w:ind w:firstLine="480" w:firstLineChars="200"/>
        <w:jc w:val="left"/>
        <w:rPr>
          <w:rFonts w:ascii="方正仿宋_GBK" w:hAnsi="宋体" w:eastAsia="方正仿宋_GBK"/>
          <w:color w:val="auto"/>
          <w:sz w:val="24"/>
        </w:rPr>
      </w:pPr>
      <w:r>
        <w:rPr>
          <w:rFonts w:hint="eastAsia" w:ascii="方正仿宋_GBK" w:hAnsi="仿宋" w:eastAsia="方正仿宋_GBK" w:cs="仿宋"/>
          <w:color w:val="auto"/>
          <w:kern w:val="0"/>
          <w:sz w:val="24"/>
          <w:szCs w:val="28"/>
        </w:rPr>
        <w:t xml:space="preserve">              邮政编码：</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rPr>
      </w:pPr>
      <w:r>
        <w:rPr>
          <w:rFonts w:hint="eastAsia" w:ascii="方正仿宋_GBK" w:hAnsi="宋体" w:eastAsia="方正仿宋_GBK"/>
          <w:color w:val="auto"/>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（签字或盖章）                                （签字或盖章）</w:t>
      </w: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rPr>
          <w:rFonts w:ascii="方正仿宋_GBK" w:hAnsi="宋体" w:eastAsia="方正仿宋_GBK"/>
          <w:color w:val="auto"/>
        </w:rPr>
      </w:pPr>
    </w:p>
    <w:p>
      <w:pPr>
        <w:tabs>
          <w:tab w:val="left" w:pos="6300"/>
        </w:tabs>
        <w:snapToGrid w:val="0"/>
        <w:spacing w:line="500" w:lineRule="exact"/>
        <w:rPr>
          <w:rFonts w:ascii="方正仿宋_GBK" w:hAnsi="宋体" w:eastAsia="方正仿宋_GBK"/>
          <w:color w:val="auto"/>
          <w:sz w:val="24"/>
        </w:rPr>
      </w:pPr>
      <w:r>
        <w:rPr>
          <w:rFonts w:ascii="方正仿宋_GBK" w:hAnsi="宋体" w:eastAsia="方正仿宋_GBK"/>
          <w:color w:val="auto"/>
        </w:rPr>
        <w:br w:type="page"/>
      </w:r>
      <w:r>
        <w:rPr>
          <w:rFonts w:hint="eastAsia" w:ascii="方正仿宋_GBK" w:hAnsi="宋体" w:eastAsia="方正仿宋_GBK"/>
          <w:color w:val="auto"/>
        </w:rPr>
        <w:t>（五）诚信声明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采购项目名称：</w:t>
      </w:r>
      <w:r>
        <w:rPr>
          <w:rFonts w:hint="eastAsia" w:ascii="方正仿宋_GBK" w:hAnsi="宋体" w:eastAsia="方正仿宋_GBK"/>
          <w:color w:val="auto"/>
          <w:sz w:val="24"/>
          <w:szCs w:val="24"/>
          <w:u w:val="single"/>
        </w:rPr>
        <w:t xml:space="preserve">                                           </w:t>
      </w:r>
    </w:p>
    <w:p>
      <w:pPr>
        <w:tabs>
          <w:tab w:val="left" w:pos="6300"/>
        </w:tabs>
        <w:snapToGrid w:val="0"/>
        <w:spacing w:line="500" w:lineRule="exact"/>
        <w:ind w:firstLine="480" w:firstLineChars="200"/>
        <w:rPr>
          <w:rFonts w:ascii="方正仿宋_GBK" w:hAnsi="宋体" w:eastAsia="方正仿宋_GBK"/>
          <w:color w:val="auto"/>
          <w:sz w:val="24"/>
          <w:szCs w:val="24"/>
          <w:u w:val="single"/>
        </w:rPr>
      </w:pPr>
      <w:r>
        <w:rPr>
          <w:rFonts w:hint="eastAsia" w:ascii="方正仿宋_GBK" w:hAnsi="宋体" w:eastAsia="方正仿宋_GBK"/>
          <w:color w:val="auto"/>
          <w:sz w:val="24"/>
          <w:szCs w:val="24"/>
        </w:rPr>
        <w:t>采购项目编号：</w:t>
      </w:r>
      <w:r>
        <w:rPr>
          <w:rFonts w:hint="eastAsia" w:ascii="方正仿宋_GBK" w:hAnsi="宋体" w:eastAsia="方正仿宋_GBK"/>
          <w:color w:val="auto"/>
          <w:sz w:val="24"/>
          <w:szCs w:val="24"/>
          <w:u w:val="single"/>
        </w:rPr>
        <w:t xml:space="preserve">                                          </w:t>
      </w:r>
    </w:p>
    <w:p>
      <w:pPr>
        <w:tabs>
          <w:tab w:val="left" w:pos="6300"/>
        </w:tabs>
        <w:snapToGrid w:val="0"/>
        <w:spacing w:line="500" w:lineRule="exact"/>
        <w:ind w:firstLine="570"/>
        <w:rPr>
          <w:rFonts w:ascii="方正仿宋_GBK" w:hAnsi="宋体" w:eastAsia="方正仿宋_GBK"/>
          <w:color w:val="auto"/>
          <w:sz w:val="24"/>
          <w:szCs w:val="24"/>
        </w:rPr>
      </w:pPr>
    </w:p>
    <w:p>
      <w:pPr>
        <w:tabs>
          <w:tab w:val="left" w:pos="6300"/>
        </w:tabs>
        <w:snapToGrid w:val="0"/>
        <w:spacing w:line="5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致：</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w:t>
      </w:r>
    </w:p>
    <w:p>
      <w:pPr>
        <w:tabs>
          <w:tab w:val="left" w:pos="6300"/>
        </w:tabs>
        <w:snapToGrid w:val="0"/>
        <w:spacing w:line="5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特此声明。</w:t>
      </w:r>
    </w:p>
    <w:p>
      <w:pPr>
        <w:tabs>
          <w:tab w:val="left" w:pos="6300"/>
        </w:tabs>
        <w:snapToGrid w:val="0"/>
        <w:spacing w:line="500" w:lineRule="exact"/>
        <w:ind w:right="424" w:firstLine="570"/>
        <w:jc w:val="right"/>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pPr>
        <w:tabs>
          <w:tab w:val="left" w:pos="6300"/>
        </w:tabs>
        <w:snapToGrid w:val="0"/>
        <w:spacing w:line="500" w:lineRule="exact"/>
        <w:ind w:right="480" w:firstLine="570"/>
        <w:jc w:val="right"/>
        <w:rPr>
          <w:rFonts w:ascii="方正仿宋_GBK" w:hAnsi="宋体" w:eastAsia="方正仿宋_GBK"/>
          <w:color w:val="auto"/>
          <w:sz w:val="24"/>
          <w:szCs w:val="24"/>
        </w:rPr>
      </w:pPr>
      <w:r>
        <w:rPr>
          <w:rFonts w:hint="eastAsia" w:ascii="方正仿宋_GBK" w:hAnsi="宋体" w:eastAsia="方正仿宋_GBK"/>
          <w:color w:val="auto"/>
          <w:sz w:val="24"/>
          <w:szCs w:val="24"/>
        </w:rPr>
        <w:t>年   月   日</w:t>
      </w:r>
    </w:p>
    <w:p>
      <w:pPr>
        <w:tabs>
          <w:tab w:val="left" w:pos="6300"/>
        </w:tabs>
        <w:snapToGrid w:val="0"/>
        <w:spacing w:line="500" w:lineRule="exact"/>
        <w:ind w:right="480" w:firstLine="570"/>
        <w:jc w:val="right"/>
        <w:rPr>
          <w:rFonts w:ascii="方正仿宋_GBK" w:hAnsi="宋体" w:eastAsia="方正仿宋_GBK"/>
          <w:color w:val="auto"/>
          <w:sz w:val="24"/>
          <w:szCs w:val="28"/>
        </w:rPr>
      </w:pPr>
    </w:p>
    <w:p>
      <w:pPr>
        <w:spacing w:line="520" w:lineRule="exact"/>
        <w:rPr>
          <w:rFonts w:hint="eastAsia" w:ascii="仿宋" w:hAnsi="仿宋" w:eastAsia="仿宋" w:cs="仿宋"/>
          <w:color w:val="auto"/>
          <w:sz w:val="24"/>
          <w:szCs w:val="22"/>
        </w:rPr>
      </w:pPr>
    </w:p>
    <w:p>
      <w:pPr>
        <w:spacing w:line="520" w:lineRule="exact"/>
        <w:ind w:firstLine="480" w:firstLineChars="200"/>
        <w:rPr>
          <w:rFonts w:hint="eastAsia" w:ascii="仿宋" w:hAnsi="仿宋" w:eastAsia="仿宋" w:cs="仿宋"/>
          <w:color w:val="auto"/>
          <w:sz w:val="24"/>
          <w:szCs w:val="22"/>
        </w:rPr>
      </w:pPr>
    </w:p>
    <w:p>
      <w:pPr>
        <w:spacing w:line="520" w:lineRule="exact"/>
        <w:ind w:firstLine="480" w:firstLineChars="200"/>
        <w:rPr>
          <w:color w:val="auto"/>
          <w:sz w:val="24"/>
        </w:rPr>
      </w:pPr>
    </w:p>
    <w:p>
      <w:pPr>
        <w:tabs>
          <w:tab w:val="left" w:pos="6300"/>
        </w:tabs>
        <w:snapToGrid w:val="0"/>
        <w:spacing w:line="500" w:lineRule="exact"/>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rPr>
      </w:pPr>
      <w:bookmarkStart w:id="121" w:name="_Toc14422"/>
      <w:r>
        <w:rPr>
          <w:rFonts w:hint="eastAsia" w:ascii="方正仿宋_GBK" w:hAnsi="宋体" w:eastAsia="方正仿宋_GBK"/>
          <w:color w:val="auto"/>
        </w:rPr>
        <w:br w:type="page"/>
      </w:r>
      <w:r>
        <w:rPr>
          <w:rFonts w:hint="eastAsia" w:ascii="方正仿宋_GBK" w:hAnsi="宋体" w:eastAsia="方正仿宋_GBK"/>
          <w:color w:val="auto"/>
        </w:rPr>
        <w:t>（六）</w:t>
      </w:r>
    </w:p>
    <w:p>
      <w:pPr>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投标人廉洁承诺书</w:t>
      </w:r>
    </w:p>
    <w:p>
      <w:pPr>
        <w:pStyle w:val="37"/>
        <w:rPr>
          <w:color w:val="auto"/>
        </w:rPr>
      </w:pPr>
    </w:p>
    <w:p>
      <w:pPr>
        <w:spacing w:line="4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为加强招标投标活动中的廉政建设。进一步规范招标投标市场、防止发生违法违规行为，体现公开、公平、公正的原则，根据国家有关法律、法规和廉政建设相关规定，本投标人特作出如下承诺：</w:t>
      </w:r>
    </w:p>
    <w:p>
      <w:pPr>
        <w:spacing w:line="44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1、不与招标人及其他投标人私下串通协商，进行围标、串标、抬标、控制投标价格。</w:t>
      </w:r>
    </w:p>
    <w:p>
      <w:pPr>
        <w:spacing w:line="440" w:lineRule="exact"/>
        <w:ind w:firstLine="640"/>
        <w:rPr>
          <w:rFonts w:ascii="方正仿宋_GBK" w:eastAsia="方正仿宋_GBK"/>
          <w:color w:val="auto"/>
          <w:sz w:val="32"/>
          <w:szCs w:val="32"/>
        </w:rPr>
      </w:pPr>
      <w:r>
        <w:rPr>
          <w:rFonts w:hint="eastAsia" w:ascii="方正仿宋_GBK" w:eastAsia="方正仿宋_GBK"/>
          <w:color w:val="auto"/>
          <w:sz w:val="32"/>
          <w:szCs w:val="32"/>
        </w:rPr>
        <w:t>2、不向招标人、评标专家行贿，以不正当手段谋取中标。</w:t>
      </w:r>
    </w:p>
    <w:p>
      <w:pPr>
        <w:spacing w:line="440" w:lineRule="exact"/>
        <w:ind w:firstLine="640"/>
        <w:rPr>
          <w:rFonts w:ascii="方正仿宋_GBK" w:eastAsia="方正仿宋_GBK"/>
          <w:color w:val="auto"/>
          <w:sz w:val="32"/>
          <w:szCs w:val="32"/>
        </w:rPr>
      </w:pPr>
      <w:r>
        <w:rPr>
          <w:rFonts w:hint="eastAsia" w:ascii="方正仿宋_GBK" w:eastAsia="方正仿宋_GBK"/>
          <w:color w:val="auto"/>
          <w:sz w:val="32"/>
          <w:szCs w:val="32"/>
        </w:rPr>
        <w:t>3、不向招标投标监管人员请客、送礼及组织其它有可能影响公正监管的活动。</w:t>
      </w:r>
    </w:p>
    <w:p>
      <w:pPr>
        <w:spacing w:line="440" w:lineRule="exact"/>
        <w:ind w:firstLine="640"/>
        <w:rPr>
          <w:rFonts w:ascii="方正仿宋_GBK" w:eastAsia="方正仿宋_GBK"/>
          <w:color w:val="auto"/>
          <w:sz w:val="32"/>
          <w:szCs w:val="32"/>
        </w:rPr>
      </w:pPr>
      <w:r>
        <w:rPr>
          <w:rFonts w:hint="eastAsia" w:ascii="方正仿宋_GBK" w:eastAsia="方正仿宋_GBK"/>
          <w:color w:val="auto"/>
          <w:sz w:val="32"/>
          <w:szCs w:val="32"/>
        </w:rPr>
        <w:t>4、自觉遵守开标、评标现场工作纪律，不私下接触评标专家评标秩序。</w:t>
      </w:r>
    </w:p>
    <w:p>
      <w:pPr>
        <w:spacing w:line="440" w:lineRule="exact"/>
        <w:ind w:firstLine="640"/>
        <w:rPr>
          <w:rFonts w:ascii="方正仿宋_GBK" w:eastAsia="方正仿宋_GBK"/>
          <w:color w:val="auto"/>
          <w:sz w:val="32"/>
          <w:szCs w:val="32"/>
        </w:rPr>
      </w:pPr>
      <w:r>
        <w:rPr>
          <w:rFonts w:hint="eastAsia" w:ascii="方正仿宋_GBK" w:eastAsia="方正仿宋_GBK"/>
          <w:color w:val="auto"/>
          <w:sz w:val="32"/>
          <w:szCs w:val="32"/>
        </w:rPr>
        <w:t>5、中标后不订背离合同实质性内容的协议，不进行非法转包、违法分包等。</w:t>
      </w:r>
    </w:p>
    <w:p>
      <w:pPr>
        <w:spacing w:line="440" w:lineRule="exact"/>
        <w:ind w:firstLine="640"/>
        <w:rPr>
          <w:rFonts w:ascii="方正仿宋_GBK" w:eastAsia="方正仿宋_GBK"/>
          <w:color w:val="auto"/>
          <w:sz w:val="32"/>
          <w:szCs w:val="32"/>
        </w:rPr>
      </w:pPr>
      <w:r>
        <w:rPr>
          <w:rFonts w:hint="eastAsia" w:ascii="方正仿宋_GBK" w:eastAsia="方正仿宋_GBK"/>
          <w:color w:val="auto"/>
          <w:sz w:val="32"/>
          <w:szCs w:val="32"/>
        </w:rPr>
        <w:t>如出现上述行为，本投标人自愿承担相关责任，接受招投标监督管理部门、纪检监察部门及司法机关调查处理。</w:t>
      </w:r>
    </w:p>
    <w:p>
      <w:pPr>
        <w:spacing w:line="440" w:lineRule="exact"/>
        <w:ind w:firstLine="640"/>
        <w:rPr>
          <w:rFonts w:ascii="方正仿宋_GBK" w:eastAsia="方正仿宋_GBK"/>
          <w:color w:val="auto"/>
          <w:sz w:val="32"/>
          <w:szCs w:val="32"/>
        </w:rPr>
      </w:pPr>
      <w:r>
        <w:rPr>
          <w:rFonts w:hint="eastAsia" w:ascii="方正仿宋_GBK" w:eastAsia="方正仿宋_GBK"/>
          <w:color w:val="auto"/>
          <w:sz w:val="32"/>
          <w:szCs w:val="32"/>
        </w:rPr>
        <w:t xml:space="preserve">                    </w:t>
      </w:r>
    </w:p>
    <w:p>
      <w:pPr>
        <w:ind w:firstLine="400"/>
        <w:jc w:val="left"/>
        <w:rPr>
          <w:color w:val="auto"/>
          <w:kern w:val="0"/>
          <w:sz w:val="20"/>
        </w:rPr>
      </w:pPr>
    </w:p>
    <w:p>
      <w:pPr>
        <w:ind w:firstLine="640"/>
        <w:jc w:val="left"/>
        <w:rPr>
          <w:color w:val="auto"/>
          <w:sz w:val="24"/>
        </w:rPr>
      </w:pPr>
    </w:p>
    <w:p>
      <w:pPr>
        <w:spacing w:line="440" w:lineRule="exact"/>
        <w:ind w:firstLine="2409" w:firstLineChars="753"/>
        <w:jc w:val="right"/>
        <w:rPr>
          <w:rFonts w:ascii="方正仿宋_GBK" w:eastAsia="方正仿宋_GBK"/>
          <w:color w:val="auto"/>
          <w:sz w:val="32"/>
          <w:szCs w:val="32"/>
          <w:u w:val="single"/>
        </w:rPr>
      </w:pPr>
      <w:r>
        <w:rPr>
          <w:rFonts w:hint="eastAsia" w:ascii="方正仿宋_GBK" w:eastAsia="方正仿宋_GBK"/>
          <w:color w:val="auto"/>
          <w:sz w:val="32"/>
          <w:szCs w:val="32"/>
        </w:rPr>
        <w:t>投标单位：</w:t>
      </w:r>
      <w:r>
        <w:rPr>
          <w:rFonts w:hint="eastAsia" w:ascii="方正仿宋_GBK" w:eastAsia="方正仿宋_GBK"/>
          <w:color w:val="auto"/>
          <w:sz w:val="32"/>
          <w:szCs w:val="32"/>
          <w:u w:val="single"/>
        </w:rPr>
        <w:t xml:space="preserve">              （单位盖章）</w:t>
      </w:r>
    </w:p>
    <w:p>
      <w:pPr>
        <w:spacing w:line="360" w:lineRule="auto"/>
        <w:ind w:firstLine="640" w:firstLineChars="200"/>
        <w:rPr>
          <w:rFonts w:ascii="方正仿宋_GBK" w:hAnsi="宋体" w:eastAsia="方正仿宋_GBK"/>
          <w:color w:val="auto"/>
          <w:sz w:val="24"/>
          <w:szCs w:val="24"/>
        </w:rPr>
      </w:pPr>
      <w:r>
        <w:rPr>
          <w:rFonts w:hint="eastAsia" w:ascii="方正仿宋_GBK" w:eastAsia="方正仿宋_GBK"/>
          <w:color w:val="auto"/>
          <w:sz w:val="32"/>
          <w:szCs w:val="32"/>
        </w:rPr>
        <w:t>法定代表人或授权委托人：</w:t>
      </w:r>
      <w:r>
        <w:rPr>
          <w:rFonts w:hint="eastAsia" w:ascii="方正仿宋_GBK" w:eastAsia="方正仿宋_GBK"/>
          <w:color w:val="auto"/>
          <w:sz w:val="32"/>
          <w:szCs w:val="32"/>
          <w:u w:val="single"/>
        </w:rPr>
        <w:t xml:space="preserve">              （签    字）</w:t>
      </w:r>
      <w:bookmarkEnd w:id="121"/>
    </w:p>
    <w:p>
      <w:pPr>
        <w:spacing w:line="360" w:lineRule="auto"/>
        <w:ind w:firstLine="480" w:firstLineChars="200"/>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spacing w:line="360" w:lineRule="auto"/>
        <w:ind w:firstLine="480" w:firstLineChars="200"/>
        <w:jc w:val="center"/>
        <w:rPr>
          <w:rFonts w:ascii="方正仿宋_GBK" w:hAnsi="宋体" w:eastAsia="方正仿宋_GBK"/>
          <w:color w:val="auto"/>
          <w:sz w:val="24"/>
          <w:szCs w:val="24"/>
        </w:rPr>
      </w:pPr>
    </w:p>
    <w:p>
      <w:pPr>
        <w:keepNext/>
        <w:snapToGrid w:val="0"/>
        <w:spacing w:before="120" w:beforeLines="50" w:after="120" w:afterLines="50" w:line="800" w:lineRule="atLeast"/>
        <w:jc w:val="center"/>
        <w:outlineLvl w:val="0"/>
        <w:rPr>
          <w:rFonts w:ascii="黑体" w:hAnsi="黑体" w:eastAsia="黑体"/>
          <w:color w:val="auto"/>
          <w:sz w:val="44"/>
          <w:szCs w:val="44"/>
          <w:highlight w:val="none"/>
        </w:rPr>
      </w:pPr>
      <w:bookmarkStart w:id="122" w:name="_Toc26014"/>
      <w:r>
        <w:rPr>
          <w:rFonts w:hint="eastAsia" w:eastAsia="方正小标宋简体"/>
          <w:color w:val="auto"/>
          <w:sz w:val="44"/>
          <w:highlight w:val="none"/>
        </w:rPr>
        <w:t>第八篇  报名表</w:t>
      </w:r>
      <w:bookmarkEnd w:id="122"/>
    </w:p>
    <w:p>
      <w:pPr>
        <w:spacing w:line="560" w:lineRule="exact"/>
        <w:jc w:val="center"/>
        <w:rPr>
          <w:rFonts w:hint="eastAsia"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rPr>
        <w:t>重庆市第七人民医院报名表</w:t>
      </w:r>
    </w:p>
    <w:p>
      <w:pPr>
        <w:rPr>
          <w:rFonts w:hint="eastAsia" w:ascii="方正仿宋_GBK" w:hAnsi="方正仿宋_GBK" w:eastAsia="方正仿宋_GBK" w:cs="方正仿宋_GBK"/>
          <w:color w:val="auto"/>
          <w:highlight w:val="none"/>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1988"/>
        <w:gridCol w:w="198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报名单位（加盖公章）</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p>
          <w:p>
            <w:pPr>
              <w:widowControl/>
              <w:jc w:val="left"/>
              <w:rPr>
                <w:rFonts w:hint="eastAsia" w:ascii="方正仿宋_GBK" w:hAnsi="方正仿宋_GBK" w:eastAsia="方正仿宋_GBK" w:cs="方正仿宋_GBK"/>
                <w:color w:val="auto"/>
                <w:szCs w:val="22"/>
                <w:highlight w:val="none"/>
              </w:rPr>
            </w:pPr>
          </w:p>
          <w:p>
            <w:pPr>
              <w:widowControl/>
              <w:jc w:val="left"/>
              <w:rPr>
                <w:rFonts w:hint="eastAsia" w:ascii="方正仿宋_GBK" w:hAnsi="方正仿宋_GBK" w:eastAsia="方正仿宋_GBK" w:cs="方正仿宋_GBK"/>
                <w:color w:val="auto"/>
                <w:szCs w:val="22"/>
                <w:highlight w:val="none"/>
              </w:rPr>
            </w:pPr>
          </w:p>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企业规模</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spacing w:line="540" w:lineRule="exact"/>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企业性质</w:t>
            </w:r>
          </w:p>
        </w:tc>
        <w:tc>
          <w:tcPr>
            <w:tcW w:w="5965" w:type="dxa"/>
            <w:gridSpan w:val="3"/>
            <w:noWrap w:val="0"/>
            <w:vAlign w:val="top"/>
          </w:tcPr>
          <w:p>
            <w:pPr>
              <w:widowControl/>
              <w:spacing w:line="540" w:lineRule="exac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报名项目名称</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报名项目编号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报名日期</w:t>
            </w:r>
          </w:p>
        </w:tc>
        <w:tc>
          <w:tcPr>
            <w:tcW w:w="5965" w:type="dxa"/>
            <w:gridSpan w:val="3"/>
            <w:noWrap w:val="0"/>
            <w:vAlign w:val="center"/>
          </w:tcPr>
          <w:p>
            <w:pPr>
              <w:widowControl/>
              <w:jc w:val="center"/>
              <w:rPr>
                <w:rFonts w:hint="eastAsia" w:ascii="方正仿宋_GBK" w:hAnsi="方正仿宋_GBK" w:eastAsia="方正仿宋_GBK" w:cs="方正仿宋_GBK"/>
                <w:color w:val="auto"/>
                <w:sz w:val="28"/>
                <w:szCs w:val="28"/>
                <w:highlight w:val="none"/>
              </w:rPr>
            </w:pPr>
          </w:p>
          <w:p>
            <w:pPr>
              <w:widowControl/>
              <w:ind w:firstLine="1960" w:firstLineChars="700"/>
              <w:jc w:val="center"/>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报名单位联系地址</w:t>
            </w:r>
          </w:p>
        </w:tc>
        <w:tc>
          <w:tcPr>
            <w:tcW w:w="5965" w:type="dxa"/>
            <w:gridSpan w:val="3"/>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法定代表人姓名</w:t>
            </w:r>
          </w:p>
        </w:tc>
        <w:tc>
          <w:tcPr>
            <w:tcW w:w="1988" w:type="dxa"/>
            <w:noWrap w:val="0"/>
            <w:vAlign w:val="top"/>
          </w:tcPr>
          <w:p>
            <w:pPr>
              <w:widowControl/>
              <w:jc w:val="center"/>
              <w:rPr>
                <w:rFonts w:hint="eastAsia" w:ascii="方正仿宋_GBK" w:hAnsi="方正仿宋_GBK" w:eastAsia="方正仿宋_GBK" w:cs="方正仿宋_GBK"/>
                <w:color w:val="auto"/>
                <w:sz w:val="28"/>
                <w:szCs w:val="28"/>
                <w:highlight w:val="none"/>
              </w:rPr>
            </w:pPr>
          </w:p>
          <w:p>
            <w:pPr>
              <w:widowControl/>
              <w:jc w:val="center"/>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lang w:val="en-US" w:eastAsia="zh-CN"/>
              </w:rPr>
              <w:t>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授权人姓名</w:t>
            </w:r>
          </w:p>
        </w:tc>
        <w:tc>
          <w:tcPr>
            <w:tcW w:w="1988" w:type="dxa"/>
            <w:noWrap w:val="0"/>
            <w:vAlign w:val="top"/>
          </w:tcPr>
          <w:p>
            <w:pPr>
              <w:widowControl/>
              <w:rPr>
                <w:rFonts w:hint="eastAsia" w:ascii="方正仿宋_GBK" w:hAnsi="方正仿宋_GBK" w:eastAsia="方正仿宋_GBK" w:cs="方正仿宋_GBK"/>
                <w:color w:val="auto"/>
                <w:sz w:val="28"/>
                <w:szCs w:val="28"/>
                <w:highlight w:val="none"/>
              </w:rPr>
            </w:pPr>
          </w:p>
          <w:p>
            <w:pPr>
              <w:widowControl/>
              <w:rPr>
                <w:rFonts w:hint="eastAsia" w:ascii="方正仿宋_GBK" w:hAnsi="方正仿宋_GBK" w:eastAsia="方正仿宋_GBK" w:cs="方正仿宋_GBK"/>
                <w:color w:val="auto"/>
                <w:sz w:val="28"/>
                <w:szCs w:val="28"/>
                <w:highlight w:val="none"/>
              </w:rPr>
            </w:pPr>
          </w:p>
        </w:tc>
        <w:tc>
          <w:tcPr>
            <w:tcW w:w="1988"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tc>
        <w:tc>
          <w:tcPr>
            <w:tcW w:w="1989" w:type="dxa"/>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授权人身份证号</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982" w:type="dxa"/>
            <w:noWrap w:val="0"/>
            <w:vAlign w:val="center"/>
          </w:tcPr>
          <w:p>
            <w:pPr>
              <w:widowControl/>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授权人联系</w:t>
            </w:r>
            <w:r>
              <w:rPr>
                <w:rFonts w:hint="eastAsia" w:ascii="方正仿宋_GBK" w:hAnsi="方正仿宋_GBK" w:eastAsia="方正仿宋_GBK" w:cs="方正仿宋_GBK"/>
                <w:color w:val="auto"/>
                <w:sz w:val="28"/>
                <w:szCs w:val="28"/>
                <w:highlight w:val="none"/>
              </w:rPr>
              <w:t>地址</w:t>
            </w:r>
          </w:p>
        </w:tc>
        <w:tc>
          <w:tcPr>
            <w:tcW w:w="5965" w:type="dxa"/>
            <w:gridSpan w:val="3"/>
            <w:noWrap w:val="0"/>
            <w:vAlign w:val="top"/>
          </w:tcPr>
          <w:p>
            <w:pPr>
              <w:widowControl/>
              <w:rPr>
                <w:rFonts w:hint="eastAsia" w:ascii="方正仿宋_GBK" w:hAnsi="方正仿宋_GBK" w:eastAsia="方正仿宋_GBK" w:cs="方正仿宋_GBK"/>
                <w:color w:val="auto"/>
                <w:sz w:val="28"/>
                <w:szCs w:val="28"/>
                <w:highlight w:val="none"/>
              </w:rPr>
            </w:pPr>
          </w:p>
        </w:tc>
      </w:tr>
    </w:tbl>
    <w:p>
      <w:pPr>
        <w:widowControl/>
        <w:rPr>
          <w:rFonts w:hint="eastAsia" w:ascii="方正仿宋_GBK" w:hAnsi="方正仿宋_GBK" w:eastAsia="方正仿宋_GBK" w:cs="方正仿宋_GBK"/>
          <w:b/>
          <w:bCs/>
          <w:color w:val="auto"/>
          <w:sz w:val="20"/>
          <w:szCs w:val="20"/>
          <w:lang w:val="en-US" w:eastAsia="zh-CN"/>
        </w:rPr>
      </w:pPr>
      <w:r>
        <w:rPr>
          <w:rFonts w:hint="eastAsia" w:ascii="方正仿宋_GBK" w:hAnsi="方正仿宋_GBK" w:eastAsia="方正仿宋_GBK" w:cs="方正仿宋_GBK"/>
          <w:color w:val="auto"/>
          <w:sz w:val="18"/>
          <w:szCs w:val="18"/>
          <w:highlight w:val="none"/>
        </w:rPr>
        <w:t>填表说明：一个项目对应填写此表一张，报名时与其他报名资料一并递交</w:t>
      </w:r>
      <w:r>
        <w:rPr>
          <w:rFonts w:hint="eastAsia" w:ascii="方正仿宋_GBK" w:hAnsi="方正仿宋_GBK" w:eastAsia="方正仿宋_GBK" w:cs="方正仿宋_GBK"/>
          <w:color w:val="auto"/>
          <w:sz w:val="18"/>
          <w:szCs w:val="18"/>
          <w:highlight w:val="yellow"/>
        </w:rPr>
        <w:t>（请勿将此表装入响应文件密封）</w:t>
      </w:r>
    </w:p>
    <w:p>
      <w:pPr>
        <w:keepLines w:val="0"/>
        <w:pageBreakBefore w:val="0"/>
        <w:kinsoku/>
        <w:wordWrap/>
        <w:overflowPunct/>
        <w:topLinePunct w:val="0"/>
        <w:bidi w:val="0"/>
        <w:spacing w:line="560" w:lineRule="exact"/>
        <w:ind w:firstLine="360" w:firstLineChars="200"/>
        <w:textAlignment w:val="auto"/>
        <w:rPr>
          <w:rFonts w:ascii="方正仿宋_GBK" w:hAnsi="方正仿宋_GBK" w:eastAsia="方正仿宋_GBK" w:cs="方正仿宋_GBK"/>
          <w:b w:val="0"/>
          <w:bCs w:val="0"/>
          <w:color w:val="auto"/>
          <w:sz w:val="18"/>
          <w:szCs w:val="18"/>
          <w:highlight w:val="none"/>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p>
    <w:p>
      <w:pPr>
        <w:tabs>
          <w:tab w:val="left" w:pos="6300"/>
        </w:tabs>
        <w:snapToGrid w:val="0"/>
        <w:spacing w:line="500" w:lineRule="exact"/>
        <w:jc w:val="center"/>
        <w:rPr>
          <w:rFonts w:hint="eastAsia" w:ascii="方正仿宋_GBK" w:hAnsi="仿宋" w:eastAsia="方正仿宋_GBK" w:cs="仿宋"/>
          <w:color w:val="auto"/>
          <w:kern w:val="0"/>
          <w:sz w:val="24"/>
          <w:szCs w:val="28"/>
        </w:rPr>
      </w:pPr>
      <w:r>
        <w:rPr>
          <w:rFonts w:hint="eastAsia" w:ascii="方正仿宋_GBK" w:hAnsi="仿宋" w:eastAsia="方正仿宋_GBK" w:cs="仿宋"/>
          <w:color w:val="auto"/>
          <w:kern w:val="0"/>
          <w:sz w:val="24"/>
          <w:szCs w:val="28"/>
        </w:rPr>
        <w:t>（结束）</w:t>
      </w:r>
    </w:p>
    <w:p>
      <w:pPr>
        <w:spacing w:line="440" w:lineRule="exact"/>
        <w:ind w:firstLine="560" w:firstLineChars="200"/>
        <w:rPr>
          <w:rFonts w:ascii="方正仿宋_GBK" w:hAnsi="宋体" w:eastAsia="方正仿宋_GBK"/>
          <w:color w:val="auto"/>
        </w:rPr>
      </w:pPr>
    </w:p>
    <w:sectPr>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alatino">
    <w:altName w:val="Palatino Linotype"/>
    <w:panose1 w:val="00000000000000000000"/>
    <w:charset w:val="00"/>
    <w:family w:val="moder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Style w:val="6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ax5t4BAAC/AwAADgAAAGRycy9lMm9Eb2MueG1srVPBjtMwEL0j8Q+W&#10;7zRpD6iKmq6AahESAqSFD3Adp7FkeyyP26R8APwBJy7c+a5+B2Mn6S7LZQ9ckvF4/Oa95/HmZrCG&#10;nVRADa7my0XJmXISGu0ONf/y+fbFmjOMwjXCgFM1PyvkN9vnzza9r9QKOjCNCoxAHFa9r3kXo6+K&#10;AmWnrMAFeOVos4VgRaRlOBRNED2hW1OsyvJl0UNofACpECm7Gzf5hBieAghtq6XagTxa5eKIGpQR&#10;kSRhpz3ybWbbtkrGj22LKjJTc1Ia85eaULxP32K7EdUhCN9pOVEQT6HwSJMV2lHTK9RORMGOQf8D&#10;ZbUMgNDGhQRbjEKyI6RiWT7y5q4TXmUtZDX6q+n4/2Dlh9OnwHRDk8CZE5Yu/PLj++Xn78uvb2y5&#10;TP70Hisqu/NUGIfXMKTaKY+UTLKHNtj0J0GM9snd89VdNUQm06H1ar0uaUvS3rwgnOL+uA8Y3yqw&#10;LAU1D3R92VVxeo9xLJ1LUjcHt9oYyovKuL8ShJkyReI+ckxRHPbDRHwPzZn00DugPh2Er5z1NAU1&#10;dzT0nJl3jkxOAzMHYQ72cyCcpIM1j5yN4Zs4DtbRB33o8qglUuhfHSMxzQISjbH3xI7uNVswzWAa&#10;nIfrX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drHm3gEAAL8DAAAOAAAAAAAA&#10;AAEAIAAAAB4BAABkcnMvZTJvRG9jLnhtbFBLBQYAAAAABgAGAFkBAABuBQAAAAA=&#10;">
              <v:fill on="f" focussize="0,0"/>
              <v:stroke on="f"/>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pPr>
      <w:pStyle w:val="37"/>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t xml:space="preserve">— </w:t>
                          </w:r>
                          <w:r>
                            <w:fldChar w:fldCharType="begin"/>
                          </w:r>
                          <w:r>
                            <w:instrText xml:space="preserve"> PAGE  \* MERGEFORMAT </w:instrText>
                          </w:r>
                          <w:r>
                            <w:fldChar w:fldCharType="separate"/>
                          </w:r>
                          <w:r>
                            <w:t>- 3 -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7QLN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tAs3gEAAL8DAAAOAAAAAAAA&#10;AAEAIAAAAB4BAABkcnMvZTJvRG9jLnhtbFBLBQYAAAAABgAGAFkBAABuBQAAAAA=&#10;">
              <v:fill on="f" focussize="0,0"/>
              <v:stroke on="f"/>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t xml:space="preserve">— </w:t>
                          </w:r>
                          <w:r>
                            <w:fldChar w:fldCharType="begin"/>
                          </w:r>
                          <w:r>
                            <w:instrText xml:space="preserve"> PAGE  \* MERGEFORMAT </w:instrText>
                          </w:r>
                          <w:r>
                            <w:fldChar w:fldCharType="separate"/>
                          </w:r>
                          <w:r>
                            <w:t>- 22 -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jLS9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jLS98BAAC/AwAADgAAAAAA&#10;AAABACAAAAAeAQAAZHJzL2Uyb0RvYy54bWxQSwUGAAAAAAYABgBZAQAAbwUAAAAA&#10;">
              <v:fill on="f" focussize="0,0"/>
              <v:stroke on="f"/>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- 22 -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t xml:space="preserve">— </w:t>
                          </w:r>
                          <w:r>
                            <w:fldChar w:fldCharType="begin"/>
                          </w:r>
                          <w:r>
                            <w:instrText xml:space="preserve"> PAGE  \* MERGEFORMAT </w:instrText>
                          </w:r>
                          <w:r>
                            <w:fldChar w:fldCharType="separate"/>
                          </w:r>
                          <w:r>
                            <w:t>- 27 -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0N6N8BAAC/AwAADgAAAGRycy9lMm9Eb2MueG1srVPBjtMwEL0j8Q+W&#10;7zRpB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B0N6N8BAAC/AwAADgAAAAAA&#10;AAABACAAAAAeAQAAZHJzL2Uyb0RvYy54bWxQSwUGAAAAAAYABgBZAQAAbwUAAAAA&#10;">
              <v:fill on="f" focussize="0,0"/>
              <v:stroke on="f"/>
              <v:imagedata o:title=""/>
              <o:lock v:ext="edit" aspectratio="f"/>
              <v:textbox inset="0mm,0mm,0mm,0mm" style="mso-fit-shape-to-text:t;">
                <w:txbxContent>
                  <w:p>
                    <w:pPr>
                      <w:pStyle w:val="37"/>
                    </w:pPr>
                    <w:r>
                      <w:t xml:space="preserve">— </w:t>
                    </w:r>
                    <w:r>
                      <w:fldChar w:fldCharType="begin"/>
                    </w:r>
                    <w:r>
                      <w:instrText xml:space="preserve"> PAGE  \* MERGEFORMAT </w:instrText>
                    </w:r>
                    <w:r>
                      <w:fldChar w:fldCharType="separate"/>
                    </w:r>
                    <w:r>
                      <w:t>- 27 -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570" w:firstLineChars="1700"/>
      <w:jc w:val="both"/>
      <w:rPr>
        <w:rFonts w:ascii="方正仿宋_GBK" w:eastAsia="方正仿宋_GBK"/>
        <w:sz w:val="21"/>
        <w:szCs w:val="21"/>
      </w:rPr>
    </w:pPr>
    <w:r>
      <w:rPr>
        <w:rFonts w:hint="eastAsia" w:ascii="方正仿宋_GBK" w:eastAsia="方正仿宋_GBK"/>
        <w:sz w:val="21"/>
        <w:szCs w:val="21"/>
      </w:rPr>
      <w:t>重庆市第七人民医院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方正仿宋_GBK" w:eastAsia="方正仿宋_GBK"/>
        <w:sz w:val="21"/>
        <w:szCs w:val="21"/>
      </w:rPr>
    </w:pPr>
    <w:r>
      <w:rPr>
        <w:rFonts w:hint="eastAsia" w:ascii="方正仿宋_GBK" w:eastAsia="方正仿宋_GBK"/>
        <w:sz w:val="21"/>
        <w:szCs w:val="21"/>
      </w:rPr>
      <w:t>重庆市第七人民医院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重庆市第七人民医院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方正仿宋_GBK" w:eastAsia="方正仿宋_GBK"/>
        <w:sz w:val="21"/>
        <w:szCs w:val="21"/>
      </w:rPr>
    </w:pPr>
    <w:r>
      <w:rPr>
        <w:rFonts w:hint="eastAsia" w:ascii="方正仿宋_GBK" w:eastAsia="方正仿宋_GBK"/>
        <w:sz w:val="21"/>
        <w:szCs w:val="21"/>
      </w:rPr>
      <w:t>重庆市第七人民医院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CD341"/>
    <w:multiLevelType w:val="singleLevel"/>
    <w:tmpl w:val="909CD341"/>
    <w:lvl w:ilvl="0" w:tentative="0">
      <w:start w:val="1"/>
      <w:numFmt w:val="decimal"/>
      <w:suff w:val="nothing"/>
      <w:lvlText w:val="（%1）"/>
      <w:lvlJc w:val="left"/>
    </w:lvl>
  </w:abstractNum>
  <w:abstractNum w:abstractNumId="1">
    <w:nsid w:val="F130D621"/>
    <w:multiLevelType w:val="singleLevel"/>
    <w:tmpl w:val="F130D621"/>
    <w:lvl w:ilvl="0" w:tentative="0">
      <w:start w:val="2"/>
      <w:numFmt w:val="decimal"/>
      <w:lvlText w:val="%1."/>
      <w:lvlJc w:val="left"/>
      <w:pPr>
        <w:tabs>
          <w:tab w:val="left" w:pos="312"/>
        </w:tabs>
      </w:pPr>
    </w:lvl>
  </w:abstractNum>
  <w:abstractNum w:abstractNumId="2">
    <w:nsid w:val="F75000E2"/>
    <w:multiLevelType w:val="singleLevel"/>
    <w:tmpl w:val="F75000E2"/>
    <w:lvl w:ilvl="0" w:tentative="0">
      <w:start w:val="2"/>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2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4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5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1"/>
    <w:multiLevelType w:val="multilevel"/>
    <w:tmpl w:val="00000011"/>
    <w:lvl w:ilvl="0" w:tentative="0">
      <w:start w:val="1"/>
      <w:numFmt w:val="decimal"/>
      <w:pStyle w:val="1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9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8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7CA81C"/>
    <w:multiLevelType w:val="singleLevel"/>
    <w:tmpl w:val="627CA81C"/>
    <w:lvl w:ilvl="0" w:tentative="0">
      <w:start w:val="3"/>
      <w:numFmt w:val="chineseCounting"/>
      <w:suff w:val="nothing"/>
      <w:lvlText w:val="%1、"/>
      <w:lvlJc w:val="left"/>
      <w:rPr>
        <w:rFonts w:hint="eastAsia"/>
      </w:rPr>
    </w:lvl>
  </w:abstractNum>
  <w:num w:numId="1">
    <w:abstractNumId w:val="10"/>
  </w:num>
  <w:num w:numId="2">
    <w:abstractNumId w:val="6"/>
  </w:num>
  <w:num w:numId="3">
    <w:abstractNumId w:val="11"/>
  </w:num>
  <w:num w:numId="4">
    <w:abstractNumId w:val="5"/>
  </w:num>
  <w:num w:numId="5">
    <w:abstractNumId w:val="4"/>
  </w:num>
  <w:num w:numId="6">
    <w:abstractNumId w:val="7"/>
  </w:num>
  <w:num w:numId="7">
    <w:abstractNumId w:val="3"/>
  </w:num>
  <w:num w:numId="8">
    <w:abstractNumId w:val="12"/>
  </w:num>
  <w:num w:numId="9">
    <w:abstractNumId w:val="8"/>
  </w:num>
  <w:num w:numId="10">
    <w:abstractNumId w:val="13"/>
  </w:num>
  <w:num w:numId="11">
    <w:abstractNumId w:val="9"/>
  </w:num>
  <w:num w:numId="12">
    <w:abstractNumId w:val="0"/>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NzhkMTBhOTExN2I4NmRkZDJlZjA0MmMwMmI0M2EifQ=="/>
  </w:docVars>
  <w:rsids>
    <w:rsidRoot w:val="00172A27"/>
    <w:rsid w:val="00001876"/>
    <w:rsid w:val="00003626"/>
    <w:rsid w:val="000040DE"/>
    <w:rsid w:val="000074D1"/>
    <w:rsid w:val="000075E8"/>
    <w:rsid w:val="00011B4B"/>
    <w:rsid w:val="00013A17"/>
    <w:rsid w:val="00013EE1"/>
    <w:rsid w:val="0001541A"/>
    <w:rsid w:val="00016B79"/>
    <w:rsid w:val="0001777B"/>
    <w:rsid w:val="00017816"/>
    <w:rsid w:val="00025329"/>
    <w:rsid w:val="00025330"/>
    <w:rsid w:val="000310A6"/>
    <w:rsid w:val="00031184"/>
    <w:rsid w:val="00033DA8"/>
    <w:rsid w:val="00036193"/>
    <w:rsid w:val="0003632F"/>
    <w:rsid w:val="0004739C"/>
    <w:rsid w:val="00050CC3"/>
    <w:rsid w:val="0005298B"/>
    <w:rsid w:val="0005417C"/>
    <w:rsid w:val="000576E1"/>
    <w:rsid w:val="000618AA"/>
    <w:rsid w:val="00063981"/>
    <w:rsid w:val="00064661"/>
    <w:rsid w:val="000709E4"/>
    <w:rsid w:val="00071B94"/>
    <w:rsid w:val="0007331A"/>
    <w:rsid w:val="000739EB"/>
    <w:rsid w:val="00076620"/>
    <w:rsid w:val="00077279"/>
    <w:rsid w:val="00077FCF"/>
    <w:rsid w:val="0008512F"/>
    <w:rsid w:val="0008547F"/>
    <w:rsid w:val="00087BA1"/>
    <w:rsid w:val="00087E23"/>
    <w:rsid w:val="00090C5A"/>
    <w:rsid w:val="00091B1C"/>
    <w:rsid w:val="00091D22"/>
    <w:rsid w:val="00093583"/>
    <w:rsid w:val="00093D0C"/>
    <w:rsid w:val="000A164E"/>
    <w:rsid w:val="000A2B70"/>
    <w:rsid w:val="000A3057"/>
    <w:rsid w:val="000A78FB"/>
    <w:rsid w:val="000B1068"/>
    <w:rsid w:val="000B42F4"/>
    <w:rsid w:val="000B7377"/>
    <w:rsid w:val="000B7F54"/>
    <w:rsid w:val="000C0991"/>
    <w:rsid w:val="000C22CD"/>
    <w:rsid w:val="000C4FAD"/>
    <w:rsid w:val="000C6D89"/>
    <w:rsid w:val="000D544D"/>
    <w:rsid w:val="000D737A"/>
    <w:rsid w:val="000D776F"/>
    <w:rsid w:val="000D7E66"/>
    <w:rsid w:val="000E01C9"/>
    <w:rsid w:val="000E0467"/>
    <w:rsid w:val="000E0DD7"/>
    <w:rsid w:val="000E3259"/>
    <w:rsid w:val="000E4B9C"/>
    <w:rsid w:val="000E585B"/>
    <w:rsid w:val="000E7675"/>
    <w:rsid w:val="000F2960"/>
    <w:rsid w:val="000F6C0B"/>
    <w:rsid w:val="000F75BB"/>
    <w:rsid w:val="000F7DBF"/>
    <w:rsid w:val="0010014A"/>
    <w:rsid w:val="00100639"/>
    <w:rsid w:val="0010088E"/>
    <w:rsid w:val="00101793"/>
    <w:rsid w:val="00104716"/>
    <w:rsid w:val="00104F36"/>
    <w:rsid w:val="00105638"/>
    <w:rsid w:val="0011303E"/>
    <w:rsid w:val="00114CFE"/>
    <w:rsid w:val="00115337"/>
    <w:rsid w:val="00115907"/>
    <w:rsid w:val="00116856"/>
    <w:rsid w:val="00116C42"/>
    <w:rsid w:val="0011780F"/>
    <w:rsid w:val="00120259"/>
    <w:rsid w:val="001221C7"/>
    <w:rsid w:val="00122ED0"/>
    <w:rsid w:val="00122F9D"/>
    <w:rsid w:val="001266BF"/>
    <w:rsid w:val="001305A0"/>
    <w:rsid w:val="00133D16"/>
    <w:rsid w:val="00134037"/>
    <w:rsid w:val="001342AC"/>
    <w:rsid w:val="00136234"/>
    <w:rsid w:val="00147FB4"/>
    <w:rsid w:val="00150067"/>
    <w:rsid w:val="0015011C"/>
    <w:rsid w:val="0015033B"/>
    <w:rsid w:val="00150429"/>
    <w:rsid w:val="00152B00"/>
    <w:rsid w:val="00160962"/>
    <w:rsid w:val="001610F9"/>
    <w:rsid w:val="0017080E"/>
    <w:rsid w:val="00171E05"/>
    <w:rsid w:val="00172A27"/>
    <w:rsid w:val="001758E8"/>
    <w:rsid w:val="001775C0"/>
    <w:rsid w:val="00180ACB"/>
    <w:rsid w:val="00183B60"/>
    <w:rsid w:val="00186623"/>
    <w:rsid w:val="001879FD"/>
    <w:rsid w:val="0019505B"/>
    <w:rsid w:val="0019571D"/>
    <w:rsid w:val="001A24A2"/>
    <w:rsid w:val="001A24B1"/>
    <w:rsid w:val="001A27DC"/>
    <w:rsid w:val="001A6DCC"/>
    <w:rsid w:val="001B0396"/>
    <w:rsid w:val="001B3DBD"/>
    <w:rsid w:val="001B4377"/>
    <w:rsid w:val="001B676D"/>
    <w:rsid w:val="001C0650"/>
    <w:rsid w:val="001C3A7C"/>
    <w:rsid w:val="001C7594"/>
    <w:rsid w:val="001C7D31"/>
    <w:rsid w:val="001D2321"/>
    <w:rsid w:val="001D2DCD"/>
    <w:rsid w:val="001D5055"/>
    <w:rsid w:val="001D630C"/>
    <w:rsid w:val="001E201B"/>
    <w:rsid w:val="001E56C8"/>
    <w:rsid w:val="001E5CAC"/>
    <w:rsid w:val="001E64A9"/>
    <w:rsid w:val="001E6841"/>
    <w:rsid w:val="001E725F"/>
    <w:rsid w:val="001F0D87"/>
    <w:rsid w:val="001F1AF7"/>
    <w:rsid w:val="001F2244"/>
    <w:rsid w:val="001F339D"/>
    <w:rsid w:val="001F4964"/>
    <w:rsid w:val="001F7063"/>
    <w:rsid w:val="001F7658"/>
    <w:rsid w:val="00202B04"/>
    <w:rsid w:val="00204936"/>
    <w:rsid w:val="00206E4B"/>
    <w:rsid w:val="002100EE"/>
    <w:rsid w:val="0021704D"/>
    <w:rsid w:val="00220421"/>
    <w:rsid w:val="0022109D"/>
    <w:rsid w:val="00222097"/>
    <w:rsid w:val="00223CDB"/>
    <w:rsid w:val="002241EC"/>
    <w:rsid w:val="00224D3E"/>
    <w:rsid w:val="00224FE5"/>
    <w:rsid w:val="002267E3"/>
    <w:rsid w:val="00226859"/>
    <w:rsid w:val="00227202"/>
    <w:rsid w:val="00227377"/>
    <w:rsid w:val="00227851"/>
    <w:rsid w:val="00230C75"/>
    <w:rsid w:val="00230FE5"/>
    <w:rsid w:val="002348E0"/>
    <w:rsid w:val="00240D00"/>
    <w:rsid w:val="002411DC"/>
    <w:rsid w:val="00244761"/>
    <w:rsid w:val="00250353"/>
    <w:rsid w:val="00250635"/>
    <w:rsid w:val="00250BC1"/>
    <w:rsid w:val="002545CD"/>
    <w:rsid w:val="00262BDB"/>
    <w:rsid w:val="0026394B"/>
    <w:rsid w:val="002643C1"/>
    <w:rsid w:val="00265203"/>
    <w:rsid w:val="0027199E"/>
    <w:rsid w:val="00271D47"/>
    <w:rsid w:val="002721EA"/>
    <w:rsid w:val="002737C0"/>
    <w:rsid w:val="00273D7B"/>
    <w:rsid w:val="002768D7"/>
    <w:rsid w:val="002768DE"/>
    <w:rsid w:val="00280E8A"/>
    <w:rsid w:val="00281D63"/>
    <w:rsid w:val="00285164"/>
    <w:rsid w:val="00285508"/>
    <w:rsid w:val="00286FD9"/>
    <w:rsid w:val="00292CB5"/>
    <w:rsid w:val="00294C7C"/>
    <w:rsid w:val="002A0875"/>
    <w:rsid w:val="002A4956"/>
    <w:rsid w:val="002A6710"/>
    <w:rsid w:val="002A758F"/>
    <w:rsid w:val="002B1840"/>
    <w:rsid w:val="002B18FD"/>
    <w:rsid w:val="002B1FDA"/>
    <w:rsid w:val="002B3EB2"/>
    <w:rsid w:val="002B578B"/>
    <w:rsid w:val="002B7904"/>
    <w:rsid w:val="002C2507"/>
    <w:rsid w:val="002C2E6E"/>
    <w:rsid w:val="002C7927"/>
    <w:rsid w:val="002D16A7"/>
    <w:rsid w:val="002D44A9"/>
    <w:rsid w:val="002D6E33"/>
    <w:rsid w:val="002D7725"/>
    <w:rsid w:val="002E0CC2"/>
    <w:rsid w:val="002E0FEB"/>
    <w:rsid w:val="002E2F74"/>
    <w:rsid w:val="002E3527"/>
    <w:rsid w:val="002E36C6"/>
    <w:rsid w:val="002F0341"/>
    <w:rsid w:val="002F0ED3"/>
    <w:rsid w:val="002F3DE3"/>
    <w:rsid w:val="002F632E"/>
    <w:rsid w:val="003021BC"/>
    <w:rsid w:val="00302A68"/>
    <w:rsid w:val="00304D91"/>
    <w:rsid w:val="003070D7"/>
    <w:rsid w:val="00310AF9"/>
    <w:rsid w:val="0031465E"/>
    <w:rsid w:val="00315742"/>
    <w:rsid w:val="003163B3"/>
    <w:rsid w:val="0031788B"/>
    <w:rsid w:val="00320E05"/>
    <w:rsid w:val="00321EA7"/>
    <w:rsid w:val="00322A7A"/>
    <w:rsid w:val="00326C5B"/>
    <w:rsid w:val="00326C98"/>
    <w:rsid w:val="0034174C"/>
    <w:rsid w:val="00341DEB"/>
    <w:rsid w:val="00342F8D"/>
    <w:rsid w:val="003430B7"/>
    <w:rsid w:val="00343F3B"/>
    <w:rsid w:val="00346A3D"/>
    <w:rsid w:val="00350C20"/>
    <w:rsid w:val="003519EA"/>
    <w:rsid w:val="00353204"/>
    <w:rsid w:val="003548FA"/>
    <w:rsid w:val="003554A5"/>
    <w:rsid w:val="00355A74"/>
    <w:rsid w:val="003569A3"/>
    <w:rsid w:val="0035766B"/>
    <w:rsid w:val="00361427"/>
    <w:rsid w:val="003614DC"/>
    <w:rsid w:val="003615AA"/>
    <w:rsid w:val="0036458B"/>
    <w:rsid w:val="0036558E"/>
    <w:rsid w:val="00371D2F"/>
    <w:rsid w:val="0037208E"/>
    <w:rsid w:val="00373122"/>
    <w:rsid w:val="0038033A"/>
    <w:rsid w:val="003816ED"/>
    <w:rsid w:val="00381A31"/>
    <w:rsid w:val="003823AC"/>
    <w:rsid w:val="00384161"/>
    <w:rsid w:val="00385D5C"/>
    <w:rsid w:val="00386C8E"/>
    <w:rsid w:val="003870C4"/>
    <w:rsid w:val="00387610"/>
    <w:rsid w:val="00392C32"/>
    <w:rsid w:val="00395C2F"/>
    <w:rsid w:val="00396388"/>
    <w:rsid w:val="003973D3"/>
    <w:rsid w:val="00397F89"/>
    <w:rsid w:val="003A0892"/>
    <w:rsid w:val="003A182D"/>
    <w:rsid w:val="003A1BF2"/>
    <w:rsid w:val="003A33D6"/>
    <w:rsid w:val="003A422B"/>
    <w:rsid w:val="003A449E"/>
    <w:rsid w:val="003A5C32"/>
    <w:rsid w:val="003A6EEA"/>
    <w:rsid w:val="003A71F3"/>
    <w:rsid w:val="003B19F5"/>
    <w:rsid w:val="003C14EB"/>
    <w:rsid w:val="003C7D73"/>
    <w:rsid w:val="003D0E0A"/>
    <w:rsid w:val="003D1B1A"/>
    <w:rsid w:val="003D3B22"/>
    <w:rsid w:val="003D7B3D"/>
    <w:rsid w:val="003E046E"/>
    <w:rsid w:val="003E1F80"/>
    <w:rsid w:val="003F4939"/>
    <w:rsid w:val="003F626F"/>
    <w:rsid w:val="00402B32"/>
    <w:rsid w:val="00403FE4"/>
    <w:rsid w:val="00404739"/>
    <w:rsid w:val="004058E0"/>
    <w:rsid w:val="0040730D"/>
    <w:rsid w:val="00410C93"/>
    <w:rsid w:val="00411B4A"/>
    <w:rsid w:val="004134DD"/>
    <w:rsid w:val="00417E99"/>
    <w:rsid w:val="00425F42"/>
    <w:rsid w:val="00431D2F"/>
    <w:rsid w:val="004327F5"/>
    <w:rsid w:val="00433FCE"/>
    <w:rsid w:val="0043565E"/>
    <w:rsid w:val="00441710"/>
    <w:rsid w:val="00447CC3"/>
    <w:rsid w:val="00450435"/>
    <w:rsid w:val="00452DC0"/>
    <w:rsid w:val="00453B8F"/>
    <w:rsid w:val="004617A0"/>
    <w:rsid w:val="00462557"/>
    <w:rsid w:val="00462878"/>
    <w:rsid w:val="00465B7A"/>
    <w:rsid w:val="00472AA2"/>
    <w:rsid w:val="00473B39"/>
    <w:rsid w:val="00475BFA"/>
    <w:rsid w:val="00483F94"/>
    <w:rsid w:val="00484B9D"/>
    <w:rsid w:val="004900CA"/>
    <w:rsid w:val="00490AA7"/>
    <w:rsid w:val="00492D80"/>
    <w:rsid w:val="004953EC"/>
    <w:rsid w:val="00497962"/>
    <w:rsid w:val="004A0D29"/>
    <w:rsid w:val="004A0DE1"/>
    <w:rsid w:val="004A2264"/>
    <w:rsid w:val="004A2410"/>
    <w:rsid w:val="004A27AC"/>
    <w:rsid w:val="004A3995"/>
    <w:rsid w:val="004A5AB7"/>
    <w:rsid w:val="004B667E"/>
    <w:rsid w:val="004B7C3F"/>
    <w:rsid w:val="004B7C7B"/>
    <w:rsid w:val="004C0D95"/>
    <w:rsid w:val="004C1DD0"/>
    <w:rsid w:val="004C64E4"/>
    <w:rsid w:val="004D02AA"/>
    <w:rsid w:val="004D06CB"/>
    <w:rsid w:val="004D2334"/>
    <w:rsid w:val="004E156F"/>
    <w:rsid w:val="004E2C04"/>
    <w:rsid w:val="004E550E"/>
    <w:rsid w:val="004E55DB"/>
    <w:rsid w:val="004E5CCB"/>
    <w:rsid w:val="004E67C6"/>
    <w:rsid w:val="004E7DF6"/>
    <w:rsid w:val="004F2CC2"/>
    <w:rsid w:val="004F338E"/>
    <w:rsid w:val="00502B2F"/>
    <w:rsid w:val="00503E6F"/>
    <w:rsid w:val="00504A48"/>
    <w:rsid w:val="00512D00"/>
    <w:rsid w:val="00513E86"/>
    <w:rsid w:val="00513EC8"/>
    <w:rsid w:val="00514179"/>
    <w:rsid w:val="0051456B"/>
    <w:rsid w:val="005155E4"/>
    <w:rsid w:val="00521C9C"/>
    <w:rsid w:val="00523B6F"/>
    <w:rsid w:val="00524C0F"/>
    <w:rsid w:val="005307B8"/>
    <w:rsid w:val="00530995"/>
    <w:rsid w:val="00531C3E"/>
    <w:rsid w:val="005325BA"/>
    <w:rsid w:val="005376A2"/>
    <w:rsid w:val="00541DFF"/>
    <w:rsid w:val="00542184"/>
    <w:rsid w:val="005431EF"/>
    <w:rsid w:val="00544BEA"/>
    <w:rsid w:val="005460D5"/>
    <w:rsid w:val="00546F30"/>
    <w:rsid w:val="00550087"/>
    <w:rsid w:val="00551F53"/>
    <w:rsid w:val="00553CF0"/>
    <w:rsid w:val="005574A0"/>
    <w:rsid w:val="00564C65"/>
    <w:rsid w:val="00566A85"/>
    <w:rsid w:val="00570C78"/>
    <w:rsid w:val="00573AE3"/>
    <w:rsid w:val="00573F08"/>
    <w:rsid w:val="0057596E"/>
    <w:rsid w:val="005802F5"/>
    <w:rsid w:val="005819C9"/>
    <w:rsid w:val="005844E8"/>
    <w:rsid w:val="005859EC"/>
    <w:rsid w:val="005902D9"/>
    <w:rsid w:val="005902EB"/>
    <w:rsid w:val="00593B8B"/>
    <w:rsid w:val="00593BE1"/>
    <w:rsid w:val="00594AA1"/>
    <w:rsid w:val="00596AB7"/>
    <w:rsid w:val="005970E0"/>
    <w:rsid w:val="005A1B5C"/>
    <w:rsid w:val="005A1EA7"/>
    <w:rsid w:val="005A306C"/>
    <w:rsid w:val="005A4EF0"/>
    <w:rsid w:val="005B0724"/>
    <w:rsid w:val="005B1C22"/>
    <w:rsid w:val="005B1E46"/>
    <w:rsid w:val="005B4DAC"/>
    <w:rsid w:val="005B7BE8"/>
    <w:rsid w:val="005C23AC"/>
    <w:rsid w:val="005C3F4B"/>
    <w:rsid w:val="005C42AC"/>
    <w:rsid w:val="005C4F84"/>
    <w:rsid w:val="005C545F"/>
    <w:rsid w:val="005D07F9"/>
    <w:rsid w:val="005D37D0"/>
    <w:rsid w:val="005D3B49"/>
    <w:rsid w:val="005D3B64"/>
    <w:rsid w:val="005D529E"/>
    <w:rsid w:val="005D703E"/>
    <w:rsid w:val="005E2204"/>
    <w:rsid w:val="005E5525"/>
    <w:rsid w:val="005E58B3"/>
    <w:rsid w:val="005E6144"/>
    <w:rsid w:val="005E6E08"/>
    <w:rsid w:val="005E7003"/>
    <w:rsid w:val="005F2A02"/>
    <w:rsid w:val="005F4145"/>
    <w:rsid w:val="005F6794"/>
    <w:rsid w:val="005F793E"/>
    <w:rsid w:val="00600161"/>
    <w:rsid w:val="00600E30"/>
    <w:rsid w:val="00603A50"/>
    <w:rsid w:val="0060420B"/>
    <w:rsid w:val="00612C47"/>
    <w:rsid w:val="00613410"/>
    <w:rsid w:val="006140B2"/>
    <w:rsid w:val="006157EA"/>
    <w:rsid w:val="00617986"/>
    <w:rsid w:val="0062433C"/>
    <w:rsid w:val="00626A6F"/>
    <w:rsid w:val="00627729"/>
    <w:rsid w:val="00627894"/>
    <w:rsid w:val="00627F21"/>
    <w:rsid w:val="00631FCE"/>
    <w:rsid w:val="00632ACB"/>
    <w:rsid w:val="00633EF0"/>
    <w:rsid w:val="00640C6D"/>
    <w:rsid w:val="0064583B"/>
    <w:rsid w:val="00646074"/>
    <w:rsid w:val="00651046"/>
    <w:rsid w:val="00651127"/>
    <w:rsid w:val="0065190C"/>
    <w:rsid w:val="006542F1"/>
    <w:rsid w:val="00654A48"/>
    <w:rsid w:val="0065651B"/>
    <w:rsid w:val="00656955"/>
    <w:rsid w:val="006619BF"/>
    <w:rsid w:val="00664607"/>
    <w:rsid w:val="00670089"/>
    <w:rsid w:val="00670837"/>
    <w:rsid w:val="0067123A"/>
    <w:rsid w:val="0067288D"/>
    <w:rsid w:val="006729ED"/>
    <w:rsid w:val="006771B1"/>
    <w:rsid w:val="00680AE4"/>
    <w:rsid w:val="0068141C"/>
    <w:rsid w:val="00682205"/>
    <w:rsid w:val="0068266E"/>
    <w:rsid w:val="00684733"/>
    <w:rsid w:val="00684E51"/>
    <w:rsid w:val="00691A5A"/>
    <w:rsid w:val="00696E0D"/>
    <w:rsid w:val="00696E58"/>
    <w:rsid w:val="006A100B"/>
    <w:rsid w:val="006A143A"/>
    <w:rsid w:val="006A3285"/>
    <w:rsid w:val="006A4C56"/>
    <w:rsid w:val="006B0567"/>
    <w:rsid w:val="006B29F9"/>
    <w:rsid w:val="006B3223"/>
    <w:rsid w:val="006B72DE"/>
    <w:rsid w:val="006B7D14"/>
    <w:rsid w:val="006C5FC1"/>
    <w:rsid w:val="006D44E1"/>
    <w:rsid w:val="006D4E73"/>
    <w:rsid w:val="006D6662"/>
    <w:rsid w:val="006D7F3F"/>
    <w:rsid w:val="006E21FA"/>
    <w:rsid w:val="006E477D"/>
    <w:rsid w:val="006E5F38"/>
    <w:rsid w:val="006E6D5F"/>
    <w:rsid w:val="006F09D3"/>
    <w:rsid w:val="006F0FB7"/>
    <w:rsid w:val="006F5925"/>
    <w:rsid w:val="00702D93"/>
    <w:rsid w:val="00703A8B"/>
    <w:rsid w:val="00703BCA"/>
    <w:rsid w:val="00704E5D"/>
    <w:rsid w:val="00705739"/>
    <w:rsid w:val="0070689D"/>
    <w:rsid w:val="007100CE"/>
    <w:rsid w:val="00710426"/>
    <w:rsid w:val="00710AE5"/>
    <w:rsid w:val="00713EBE"/>
    <w:rsid w:val="00714BF1"/>
    <w:rsid w:val="00715CA1"/>
    <w:rsid w:val="00715FB5"/>
    <w:rsid w:val="007171A6"/>
    <w:rsid w:val="0071799D"/>
    <w:rsid w:val="00721218"/>
    <w:rsid w:val="00723583"/>
    <w:rsid w:val="00723835"/>
    <w:rsid w:val="00726088"/>
    <w:rsid w:val="00727958"/>
    <w:rsid w:val="00730B6A"/>
    <w:rsid w:val="00736D88"/>
    <w:rsid w:val="00736DD2"/>
    <w:rsid w:val="007375FD"/>
    <w:rsid w:val="00744379"/>
    <w:rsid w:val="0074681C"/>
    <w:rsid w:val="00746EC2"/>
    <w:rsid w:val="007519F0"/>
    <w:rsid w:val="007546FA"/>
    <w:rsid w:val="00767951"/>
    <w:rsid w:val="00771B34"/>
    <w:rsid w:val="00774964"/>
    <w:rsid w:val="00774E76"/>
    <w:rsid w:val="00780940"/>
    <w:rsid w:val="00781BFB"/>
    <w:rsid w:val="00784EA0"/>
    <w:rsid w:val="0079137E"/>
    <w:rsid w:val="00794382"/>
    <w:rsid w:val="007959AC"/>
    <w:rsid w:val="00795EC3"/>
    <w:rsid w:val="007A20E0"/>
    <w:rsid w:val="007A2F4E"/>
    <w:rsid w:val="007A32FE"/>
    <w:rsid w:val="007A61CD"/>
    <w:rsid w:val="007B2204"/>
    <w:rsid w:val="007B4B60"/>
    <w:rsid w:val="007B4BBF"/>
    <w:rsid w:val="007B6090"/>
    <w:rsid w:val="007B614A"/>
    <w:rsid w:val="007B75C7"/>
    <w:rsid w:val="007C6B0F"/>
    <w:rsid w:val="007D1A8F"/>
    <w:rsid w:val="007D7A44"/>
    <w:rsid w:val="007D7E65"/>
    <w:rsid w:val="007E19E0"/>
    <w:rsid w:val="007E6CB5"/>
    <w:rsid w:val="007E723C"/>
    <w:rsid w:val="007F1597"/>
    <w:rsid w:val="007F180C"/>
    <w:rsid w:val="00800361"/>
    <w:rsid w:val="008041D4"/>
    <w:rsid w:val="0081156A"/>
    <w:rsid w:val="0081256C"/>
    <w:rsid w:val="00827398"/>
    <w:rsid w:val="00836B65"/>
    <w:rsid w:val="00842974"/>
    <w:rsid w:val="00842F87"/>
    <w:rsid w:val="008521CF"/>
    <w:rsid w:val="008527A9"/>
    <w:rsid w:val="0085550A"/>
    <w:rsid w:val="00855E6E"/>
    <w:rsid w:val="0085731D"/>
    <w:rsid w:val="008616EF"/>
    <w:rsid w:val="00862A84"/>
    <w:rsid w:val="00862D96"/>
    <w:rsid w:val="00863C25"/>
    <w:rsid w:val="008641B7"/>
    <w:rsid w:val="00864BAB"/>
    <w:rsid w:val="00864DC1"/>
    <w:rsid w:val="008705BC"/>
    <w:rsid w:val="00871999"/>
    <w:rsid w:val="008738C8"/>
    <w:rsid w:val="00875A42"/>
    <w:rsid w:val="00876EAB"/>
    <w:rsid w:val="0088220F"/>
    <w:rsid w:val="008828C3"/>
    <w:rsid w:val="008904A8"/>
    <w:rsid w:val="008919B1"/>
    <w:rsid w:val="00891D94"/>
    <w:rsid w:val="00891FF7"/>
    <w:rsid w:val="0089208F"/>
    <w:rsid w:val="008921A9"/>
    <w:rsid w:val="00894567"/>
    <w:rsid w:val="008946F6"/>
    <w:rsid w:val="00896A21"/>
    <w:rsid w:val="008A0D61"/>
    <w:rsid w:val="008A19AF"/>
    <w:rsid w:val="008A20FB"/>
    <w:rsid w:val="008A6A6C"/>
    <w:rsid w:val="008B0D07"/>
    <w:rsid w:val="008B73A1"/>
    <w:rsid w:val="008C07B9"/>
    <w:rsid w:val="008C161A"/>
    <w:rsid w:val="008C1B22"/>
    <w:rsid w:val="008C1BF6"/>
    <w:rsid w:val="008C35D8"/>
    <w:rsid w:val="008C4C84"/>
    <w:rsid w:val="008C4EC0"/>
    <w:rsid w:val="008C510F"/>
    <w:rsid w:val="008D067F"/>
    <w:rsid w:val="008D4E34"/>
    <w:rsid w:val="008E1BA4"/>
    <w:rsid w:val="008E2220"/>
    <w:rsid w:val="008E437B"/>
    <w:rsid w:val="008E66B8"/>
    <w:rsid w:val="008E6F43"/>
    <w:rsid w:val="008E756D"/>
    <w:rsid w:val="008F011F"/>
    <w:rsid w:val="008F0A2E"/>
    <w:rsid w:val="008F1787"/>
    <w:rsid w:val="008F1988"/>
    <w:rsid w:val="008F5E44"/>
    <w:rsid w:val="008F6252"/>
    <w:rsid w:val="00901E01"/>
    <w:rsid w:val="009021AF"/>
    <w:rsid w:val="009023F3"/>
    <w:rsid w:val="0090383C"/>
    <w:rsid w:val="00905D85"/>
    <w:rsid w:val="00911F76"/>
    <w:rsid w:val="00912132"/>
    <w:rsid w:val="00913619"/>
    <w:rsid w:val="00914AE9"/>
    <w:rsid w:val="00915CD5"/>
    <w:rsid w:val="009162AB"/>
    <w:rsid w:val="009226AA"/>
    <w:rsid w:val="009226D2"/>
    <w:rsid w:val="00922FAD"/>
    <w:rsid w:val="009238E9"/>
    <w:rsid w:val="00924F0A"/>
    <w:rsid w:val="00925082"/>
    <w:rsid w:val="00925726"/>
    <w:rsid w:val="0092708B"/>
    <w:rsid w:val="0093049D"/>
    <w:rsid w:val="00936BA3"/>
    <w:rsid w:val="00937713"/>
    <w:rsid w:val="00941EB4"/>
    <w:rsid w:val="0094759E"/>
    <w:rsid w:val="00947ACD"/>
    <w:rsid w:val="00952C13"/>
    <w:rsid w:val="00953C81"/>
    <w:rsid w:val="0095664F"/>
    <w:rsid w:val="009618D9"/>
    <w:rsid w:val="00961DAD"/>
    <w:rsid w:val="00962BF1"/>
    <w:rsid w:val="00965DBE"/>
    <w:rsid w:val="00966820"/>
    <w:rsid w:val="009674D9"/>
    <w:rsid w:val="0097027B"/>
    <w:rsid w:val="00971E57"/>
    <w:rsid w:val="009723CF"/>
    <w:rsid w:val="0097652A"/>
    <w:rsid w:val="00976F5D"/>
    <w:rsid w:val="00980037"/>
    <w:rsid w:val="0098389D"/>
    <w:rsid w:val="00983B43"/>
    <w:rsid w:val="00984742"/>
    <w:rsid w:val="009864C5"/>
    <w:rsid w:val="00991B37"/>
    <w:rsid w:val="009A0F7D"/>
    <w:rsid w:val="009A3290"/>
    <w:rsid w:val="009A7B18"/>
    <w:rsid w:val="009B6208"/>
    <w:rsid w:val="009B7AD5"/>
    <w:rsid w:val="009C249E"/>
    <w:rsid w:val="009C3034"/>
    <w:rsid w:val="009C6A4B"/>
    <w:rsid w:val="009C7522"/>
    <w:rsid w:val="009D02B9"/>
    <w:rsid w:val="009D052B"/>
    <w:rsid w:val="009D0FDD"/>
    <w:rsid w:val="009D1EF7"/>
    <w:rsid w:val="009D3162"/>
    <w:rsid w:val="009D3181"/>
    <w:rsid w:val="009D5D09"/>
    <w:rsid w:val="009D7B9B"/>
    <w:rsid w:val="009E0A21"/>
    <w:rsid w:val="009E34DD"/>
    <w:rsid w:val="009E4500"/>
    <w:rsid w:val="009E717E"/>
    <w:rsid w:val="009E737D"/>
    <w:rsid w:val="009E7489"/>
    <w:rsid w:val="009E7D55"/>
    <w:rsid w:val="009F07D9"/>
    <w:rsid w:val="009F4D96"/>
    <w:rsid w:val="00A006BA"/>
    <w:rsid w:val="00A03977"/>
    <w:rsid w:val="00A07988"/>
    <w:rsid w:val="00A134EE"/>
    <w:rsid w:val="00A1379A"/>
    <w:rsid w:val="00A15797"/>
    <w:rsid w:val="00A2286E"/>
    <w:rsid w:val="00A23CF4"/>
    <w:rsid w:val="00A254DE"/>
    <w:rsid w:val="00A26FF7"/>
    <w:rsid w:val="00A31B7B"/>
    <w:rsid w:val="00A359F6"/>
    <w:rsid w:val="00A37A20"/>
    <w:rsid w:val="00A445DC"/>
    <w:rsid w:val="00A44BEA"/>
    <w:rsid w:val="00A47B89"/>
    <w:rsid w:val="00A52022"/>
    <w:rsid w:val="00A55B14"/>
    <w:rsid w:val="00A569E8"/>
    <w:rsid w:val="00A57FAF"/>
    <w:rsid w:val="00A601C4"/>
    <w:rsid w:val="00A63C80"/>
    <w:rsid w:val="00A64A15"/>
    <w:rsid w:val="00A711C6"/>
    <w:rsid w:val="00A76630"/>
    <w:rsid w:val="00A84863"/>
    <w:rsid w:val="00A849B6"/>
    <w:rsid w:val="00A9013B"/>
    <w:rsid w:val="00A953E2"/>
    <w:rsid w:val="00A95427"/>
    <w:rsid w:val="00A95D95"/>
    <w:rsid w:val="00A977EC"/>
    <w:rsid w:val="00A97E64"/>
    <w:rsid w:val="00AA232E"/>
    <w:rsid w:val="00AA2C27"/>
    <w:rsid w:val="00AA3FD1"/>
    <w:rsid w:val="00AA52DE"/>
    <w:rsid w:val="00AB11B3"/>
    <w:rsid w:val="00AB25EA"/>
    <w:rsid w:val="00AB5730"/>
    <w:rsid w:val="00AB5ED3"/>
    <w:rsid w:val="00AB6463"/>
    <w:rsid w:val="00AB6B0C"/>
    <w:rsid w:val="00AB70CD"/>
    <w:rsid w:val="00AB7800"/>
    <w:rsid w:val="00AC1860"/>
    <w:rsid w:val="00AC4075"/>
    <w:rsid w:val="00AC4898"/>
    <w:rsid w:val="00AC48B3"/>
    <w:rsid w:val="00AC4BC2"/>
    <w:rsid w:val="00AC7AC9"/>
    <w:rsid w:val="00AD26BF"/>
    <w:rsid w:val="00AD5780"/>
    <w:rsid w:val="00AD5D13"/>
    <w:rsid w:val="00AD6DA0"/>
    <w:rsid w:val="00AE14E0"/>
    <w:rsid w:val="00AE1920"/>
    <w:rsid w:val="00AE5BD6"/>
    <w:rsid w:val="00AE73DE"/>
    <w:rsid w:val="00AF01B3"/>
    <w:rsid w:val="00AF0F13"/>
    <w:rsid w:val="00AF1A68"/>
    <w:rsid w:val="00AF581F"/>
    <w:rsid w:val="00AF5E1A"/>
    <w:rsid w:val="00AF7992"/>
    <w:rsid w:val="00AF7CDD"/>
    <w:rsid w:val="00B009FE"/>
    <w:rsid w:val="00B00AB3"/>
    <w:rsid w:val="00B02325"/>
    <w:rsid w:val="00B14C52"/>
    <w:rsid w:val="00B16892"/>
    <w:rsid w:val="00B175B2"/>
    <w:rsid w:val="00B200AA"/>
    <w:rsid w:val="00B2048D"/>
    <w:rsid w:val="00B20546"/>
    <w:rsid w:val="00B2488E"/>
    <w:rsid w:val="00B25EB3"/>
    <w:rsid w:val="00B25F4F"/>
    <w:rsid w:val="00B3074E"/>
    <w:rsid w:val="00B32C74"/>
    <w:rsid w:val="00B35189"/>
    <w:rsid w:val="00B42056"/>
    <w:rsid w:val="00B43829"/>
    <w:rsid w:val="00B478C3"/>
    <w:rsid w:val="00B50175"/>
    <w:rsid w:val="00B502A6"/>
    <w:rsid w:val="00B52715"/>
    <w:rsid w:val="00B52BCC"/>
    <w:rsid w:val="00B54209"/>
    <w:rsid w:val="00B61348"/>
    <w:rsid w:val="00B6263F"/>
    <w:rsid w:val="00B63DA5"/>
    <w:rsid w:val="00B667C6"/>
    <w:rsid w:val="00B67114"/>
    <w:rsid w:val="00B75449"/>
    <w:rsid w:val="00B7599C"/>
    <w:rsid w:val="00B81284"/>
    <w:rsid w:val="00B86DA1"/>
    <w:rsid w:val="00B87401"/>
    <w:rsid w:val="00B920AF"/>
    <w:rsid w:val="00B933FA"/>
    <w:rsid w:val="00B93D58"/>
    <w:rsid w:val="00B948EF"/>
    <w:rsid w:val="00B94CBB"/>
    <w:rsid w:val="00B96B65"/>
    <w:rsid w:val="00B97C2A"/>
    <w:rsid w:val="00BA0A42"/>
    <w:rsid w:val="00BA1256"/>
    <w:rsid w:val="00BA26CE"/>
    <w:rsid w:val="00BA30B9"/>
    <w:rsid w:val="00BA3666"/>
    <w:rsid w:val="00BA464C"/>
    <w:rsid w:val="00BA527C"/>
    <w:rsid w:val="00BA604B"/>
    <w:rsid w:val="00BB7494"/>
    <w:rsid w:val="00BB7A79"/>
    <w:rsid w:val="00BC2390"/>
    <w:rsid w:val="00BC3D63"/>
    <w:rsid w:val="00BC58A4"/>
    <w:rsid w:val="00BC775D"/>
    <w:rsid w:val="00BD0D74"/>
    <w:rsid w:val="00BD4176"/>
    <w:rsid w:val="00BD4453"/>
    <w:rsid w:val="00BD4EE5"/>
    <w:rsid w:val="00BD5A75"/>
    <w:rsid w:val="00BE07A9"/>
    <w:rsid w:val="00BE2E36"/>
    <w:rsid w:val="00BE4D8F"/>
    <w:rsid w:val="00BE4E33"/>
    <w:rsid w:val="00BE633D"/>
    <w:rsid w:val="00BF44A8"/>
    <w:rsid w:val="00BF46A7"/>
    <w:rsid w:val="00BF5230"/>
    <w:rsid w:val="00BF6324"/>
    <w:rsid w:val="00BF6571"/>
    <w:rsid w:val="00C00289"/>
    <w:rsid w:val="00C01EF7"/>
    <w:rsid w:val="00C1090C"/>
    <w:rsid w:val="00C1545D"/>
    <w:rsid w:val="00C240C8"/>
    <w:rsid w:val="00C26513"/>
    <w:rsid w:val="00C275C6"/>
    <w:rsid w:val="00C31113"/>
    <w:rsid w:val="00C328C9"/>
    <w:rsid w:val="00C35BA8"/>
    <w:rsid w:val="00C372E6"/>
    <w:rsid w:val="00C37D3B"/>
    <w:rsid w:val="00C37F72"/>
    <w:rsid w:val="00C40188"/>
    <w:rsid w:val="00C41FB7"/>
    <w:rsid w:val="00C420C1"/>
    <w:rsid w:val="00C43FEE"/>
    <w:rsid w:val="00C442DA"/>
    <w:rsid w:val="00C4546B"/>
    <w:rsid w:val="00C45963"/>
    <w:rsid w:val="00C472B8"/>
    <w:rsid w:val="00C5171C"/>
    <w:rsid w:val="00C529FD"/>
    <w:rsid w:val="00C53124"/>
    <w:rsid w:val="00C53B2E"/>
    <w:rsid w:val="00C56540"/>
    <w:rsid w:val="00C600C9"/>
    <w:rsid w:val="00C604A1"/>
    <w:rsid w:val="00C6160A"/>
    <w:rsid w:val="00C64D7C"/>
    <w:rsid w:val="00C65711"/>
    <w:rsid w:val="00C66BD2"/>
    <w:rsid w:val="00C72ADC"/>
    <w:rsid w:val="00C73E43"/>
    <w:rsid w:val="00C76BCC"/>
    <w:rsid w:val="00C76ECD"/>
    <w:rsid w:val="00C77196"/>
    <w:rsid w:val="00C84E04"/>
    <w:rsid w:val="00C910BE"/>
    <w:rsid w:val="00C922BE"/>
    <w:rsid w:val="00C973E2"/>
    <w:rsid w:val="00CA583F"/>
    <w:rsid w:val="00CA5844"/>
    <w:rsid w:val="00CA7415"/>
    <w:rsid w:val="00CA7987"/>
    <w:rsid w:val="00CB1C9E"/>
    <w:rsid w:val="00CB265C"/>
    <w:rsid w:val="00CB27B8"/>
    <w:rsid w:val="00CB32BC"/>
    <w:rsid w:val="00CB4540"/>
    <w:rsid w:val="00CB4951"/>
    <w:rsid w:val="00CB7A07"/>
    <w:rsid w:val="00CC1095"/>
    <w:rsid w:val="00CC126F"/>
    <w:rsid w:val="00CC59BB"/>
    <w:rsid w:val="00CD0E92"/>
    <w:rsid w:val="00CD1580"/>
    <w:rsid w:val="00CD19E9"/>
    <w:rsid w:val="00CD3BD4"/>
    <w:rsid w:val="00CD635D"/>
    <w:rsid w:val="00CD6DEE"/>
    <w:rsid w:val="00CD7C5B"/>
    <w:rsid w:val="00CD7CED"/>
    <w:rsid w:val="00CE04C7"/>
    <w:rsid w:val="00CE5E3D"/>
    <w:rsid w:val="00CF075F"/>
    <w:rsid w:val="00CF156B"/>
    <w:rsid w:val="00CF1E02"/>
    <w:rsid w:val="00CF2632"/>
    <w:rsid w:val="00CF31D9"/>
    <w:rsid w:val="00CF4BD6"/>
    <w:rsid w:val="00CF597A"/>
    <w:rsid w:val="00CF6522"/>
    <w:rsid w:val="00D00DA0"/>
    <w:rsid w:val="00D0103F"/>
    <w:rsid w:val="00D01669"/>
    <w:rsid w:val="00D03D4D"/>
    <w:rsid w:val="00D04490"/>
    <w:rsid w:val="00D04AC3"/>
    <w:rsid w:val="00D055CC"/>
    <w:rsid w:val="00D05BAA"/>
    <w:rsid w:val="00D07F26"/>
    <w:rsid w:val="00D1094D"/>
    <w:rsid w:val="00D11753"/>
    <w:rsid w:val="00D11A09"/>
    <w:rsid w:val="00D11BCD"/>
    <w:rsid w:val="00D13B7A"/>
    <w:rsid w:val="00D17BDF"/>
    <w:rsid w:val="00D22C4B"/>
    <w:rsid w:val="00D230C7"/>
    <w:rsid w:val="00D23E7D"/>
    <w:rsid w:val="00D2405F"/>
    <w:rsid w:val="00D30C7F"/>
    <w:rsid w:val="00D321D0"/>
    <w:rsid w:val="00D32763"/>
    <w:rsid w:val="00D32DFB"/>
    <w:rsid w:val="00D36D03"/>
    <w:rsid w:val="00D41BA9"/>
    <w:rsid w:val="00D4511A"/>
    <w:rsid w:val="00D46D14"/>
    <w:rsid w:val="00D50B67"/>
    <w:rsid w:val="00D52376"/>
    <w:rsid w:val="00D53743"/>
    <w:rsid w:val="00D54724"/>
    <w:rsid w:val="00D56019"/>
    <w:rsid w:val="00D612C2"/>
    <w:rsid w:val="00D633FE"/>
    <w:rsid w:val="00D63C15"/>
    <w:rsid w:val="00D64D38"/>
    <w:rsid w:val="00D6530E"/>
    <w:rsid w:val="00D73C56"/>
    <w:rsid w:val="00D745E0"/>
    <w:rsid w:val="00D76AA3"/>
    <w:rsid w:val="00D80604"/>
    <w:rsid w:val="00D81813"/>
    <w:rsid w:val="00D81820"/>
    <w:rsid w:val="00D86A86"/>
    <w:rsid w:val="00D8791E"/>
    <w:rsid w:val="00DA0040"/>
    <w:rsid w:val="00DA01AC"/>
    <w:rsid w:val="00DA086B"/>
    <w:rsid w:val="00DA1D7A"/>
    <w:rsid w:val="00DA57A0"/>
    <w:rsid w:val="00DA5E0A"/>
    <w:rsid w:val="00DA6834"/>
    <w:rsid w:val="00DA7145"/>
    <w:rsid w:val="00DA79CB"/>
    <w:rsid w:val="00DA7DB7"/>
    <w:rsid w:val="00DA7E05"/>
    <w:rsid w:val="00DB4794"/>
    <w:rsid w:val="00DB5C3E"/>
    <w:rsid w:val="00DB628E"/>
    <w:rsid w:val="00DC4070"/>
    <w:rsid w:val="00DC626C"/>
    <w:rsid w:val="00DC63BD"/>
    <w:rsid w:val="00DD0791"/>
    <w:rsid w:val="00DD0B86"/>
    <w:rsid w:val="00DD13AA"/>
    <w:rsid w:val="00DD2A42"/>
    <w:rsid w:val="00DD4CCE"/>
    <w:rsid w:val="00DD5864"/>
    <w:rsid w:val="00DE1E39"/>
    <w:rsid w:val="00DE2138"/>
    <w:rsid w:val="00DE513D"/>
    <w:rsid w:val="00DF356F"/>
    <w:rsid w:val="00DF3B80"/>
    <w:rsid w:val="00DF47D6"/>
    <w:rsid w:val="00DF4D5A"/>
    <w:rsid w:val="00DF5425"/>
    <w:rsid w:val="00DF612A"/>
    <w:rsid w:val="00DF7436"/>
    <w:rsid w:val="00DF782C"/>
    <w:rsid w:val="00E01643"/>
    <w:rsid w:val="00E01DFE"/>
    <w:rsid w:val="00E030A0"/>
    <w:rsid w:val="00E04F16"/>
    <w:rsid w:val="00E075A1"/>
    <w:rsid w:val="00E07BAC"/>
    <w:rsid w:val="00E1158A"/>
    <w:rsid w:val="00E124E3"/>
    <w:rsid w:val="00E14812"/>
    <w:rsid w:val="00E14D98"/>
    <w:rsid w:val="00E15231"/>
    <w:rsid w:val="00E15DDE"/>
    <w:rsid w:val="00E2339E"/>
    <w:rsid w:val="00E24BBE"/>
    <w:rsid w:val="00E24D8E"/>
    <w:rsid w:val="00E25279"/>
    <w:rsid w:val="00E275CB"/>
    <w:rsid w:val="00E3245B"/>
    <w:rsid w:val="00E324EF"/>
    <w:rsid w:val="00E32DCD"/>
    <w:rsid w:val="00E34A9C"/>
    <w:rsid w:val="00E363B4"/>
    <w:rsid w:val="00E3707B"/>
    <w:rsid w:val="00E432A5"/>
    <w:rsid w:val="00E50246"/>
    <w:rsid w:val="00E50685"/>
    <w:rsid w:val="00E51C71"/>
    <w:rsid w:val="00E5685C"/>
    <w:rsid w:val="00E56CB1"/>
    <w:rsid w:val="00E57F6B"/>
    <w:rsid w:val="00E620EC"/>
    <w:rsid w:val="00E6234F"/>
    <w:rsid w:val="00E67AC7"/>
    <w:rsid w:val="00E71426"/>
    <w:rsid w:val="00E724FF"/>
    <w:rsid w:val="00E7342C"/>
    <w:rsid w:val="00E74D40"/>
    <w:rsid w:val="00E76363"/>
    <w:rsid w:val="00E81D23"/>
    <w:rsid w:val="00E82A7F"/>
    <w:rsid w:val="00E85E8E"/>
    <w:rsid w:val="00E86B20"/>
    <w:rsid w:val="00E8706E"/>
    <w:rsid w:val="00E9021D"/>
    <w:rsid w:val="00E90745"/>
    <w:rsid w:val="00E90BE3"/>
    <w:rsid w:val="00E91D81"/>
    <w:rsid w:val="00E92BC2"/>
    <w:rsid w:val="00EA010E"/>
    <w:rsid w:val="00EB06C5"/>
    <w:rsid w:val="00EB1696"/>
    <w:rsid w:val="00EB18A7"/>
    <w:rsid w:val="00EB1E33"/>
    <w:rsid w:val="00EB4163"/>
    <w:rsid w:val="00EB4DA6"/>
    <w:rsid w:val="00EB4DAA"/>
    <w:rsid w:val="00EB7B0A"/>
    <w:rsid w:val="00EC0881"/>
    <w:rsid w:val="00EC0972"/>
    <w:rsid w:val="00EC27F4"/>
    <w:rsid w:val="00EC5CF4"/>
    <w:rsid w:val="00ED1173"/>
    <w:rsid w:val="00ED2F55"/>
    <w:rsid w:val="00ED407C"/>
    <w:rsid w:val="00ED5241"/>
    <w:rsid w:val="00ED5ED8"/>
    <w:rsid w:val="00EE0395"/>
    <w:rsid w:val="00EE2E38"/>
    <w:rsid w:val="00EE3F0F"/>
    <w:rsid w:val="00EE710F"/>
    <w:rsid w:val="00EE7B6C"/>
    <w:rsid w:val="00EF0199"/>
    <w:rsid w:val="00EF63B1"/>
    <w:rsid w:val="00EF7825"/>
    <w:rsid w:val="00F02222"/>
    <w:rsid w:val="00F076C4"/>
    <w:rsid w:val="00F07EF0"/>
    <w:rsid w:val="00F11411"/>
    <w:rsid w:val="00F144B5"/>
    <w:rsid w:val="00F148D7"/>
    <w:rsid w:val="00F15578"/>
    <w:rsid w:val="00F15EFB"/>
    <w:rsid w:val="00F16313"/>
    <w:rsid w:val="00F16551"/>
    <w:rsid w:val="00F1700E"/>
    <w:rsid w:val="00F20B23"/>
    <w:rsid w:val="00F20FF1"/>
    <w:rsid w:val="00F24317"/>
    <w:rsid w:val="00F27799"/>
    <w:rsid w:val="00F30AD2"/>
    <w:rsid w:val="00F32641"/>
    <w:rsid w:val="00F32CB2"/>
    <w:rsid w:val="00F33281"/>
    <w:rsid w:val="00F33883"/>
    <w:rsid w:val="00F35457"/>
    <w:rsid w:val="00F3595B"/>
    <w:rsid w:val="00F35FBF"/>
    <w:rsid w:val="00F367F3"/>
    <w:rsid w:val="00F36A26"/>
    <w:rsid w:val="00F36B91"/>
    <w:rsid w:val="00F41F54"/>
    <w:rsid w:val="00F426A6"/>
    <w:rsid w:val="00F429FD"/>
    <w:rsid w:val="00F44B37"/>
    <w:rsid w:val="00F4623C"/>
    <w:rsid w:val="00F56399"/>
    <w:rsid w:val="00F614FA"/>
    <w:rsid w:val="00F62FC5"/>
    <w:rsid w:val="00F63E71"/>
    <w:rsid w:val="00F663CB"/>
    <w:rsid w:val="00F67E64"/>
    <w:rsid w:val="00F71B1A"/>
    <w:rsid w:val="00F7526C"/>
    <w:rsid w:val="00F7709C"/>
    <w:rsid w:val="00F7750A"/>
    <w:rsid w:val="00F80006"/>
    <w:rsid w:val="00F80084"/>
    <w:rsid w:val="00F842FB"/>
    <w:rsid w:val="00F907B6"/>
    <w:rsid w:val="00F909B0"/>
    <w:rsid w:val="00F909C3"/>
    <w:rsid w:val="00F9505D"/>
    <w:rsid w:val="00F95676"/>
    <w:rsid w:val="00F96038"/>
    <w:rsid w:val="00F96401"/>
    <w:rsid w:val="00FA0E57"/>
    <w:rsid w:val="00FA0F48"/>
    <w:rsid w:val="00FA3F8B"/>
    <w:rsid w:val="00FA645E"/>
    <w:rsid w:val="00FA767D"/>
    <w:rsid w:val="00FB21E5"/>
    <w:rsid w:val="00FB3CD6"/>
    <w:rsid w:val="00FB681B"/>
    <w:rsid w:val="00FC1CE8"/>
    <w:rsid w:val="00FC3C96"/>
    <w:rsid w:val="00FC3EEA"/>
    <w:rsid w:val="00FC4A0C"/>
    <w:rsid w:val="00FC4FE6"/>
    <w:rsid w:val="00FC5604"/>
    <w:rsid w:val="00FD173C"/>
    <w:rsid w:val="00FD2470"/>
    <w:rsid w:val="00FD5823"/>
    <w:rsid w:val="00FD7BE0"/>
    <w:rsid w:val="00FD7F54"/>
    <w:rsid w:val="00FE1C27"/>
    <w:rsid w:val="00FE5C31"/>
    <w:rsid w:val="00FE62A0"/>
    <w:rsid w:val="00FF1B0E"/>
    <w:rsid w:val="00FF4B5F"/>
    <w:rsid w:val="00FF748B"/>
    <w:rsid w:val="00FF7B05"/>
    <w:rsid w:val="012E6308"/>
    <w:rsid w:val="014A0242"/>
    <w:rsid w:val="025A1648"/>
    <w:rsid w:val="027646D9"/>
    <w:rsid w:val="02796A74"/>
    <w:rsid w:val="02CB7221"/>
    <w:rsid w:val="03A411D3"/>
    <w:rsid w:val="04296A2E"/>
    <w:rsid w:val="044F1EFB"/>
    <w:rsid w:val="045D29E7"/>
    <w:rsid w:val="04671535"/>
    <w:rsid w:val="04735047"/>
    <w:rsid w:val="04B65FC7"/>
    <w:rsid w:val="04FB2D51"/>
    <w:rsid w:val="04FD1ABF"/>
    <w:rsid w:val="05340032"/>
    <w:rsid w:val="05560EE2"/>
    <w:rsid w:val="055625F5"/>
    <w:rsid w:val="05B16FE4"/>
    <w:rsid w:val="05D75BC5"/>
    <w:rsid w:val="0612470A"/>
    <w:rsid w:val="06191E5A"/>
    <w:rsid w:val="062A0B77"/>
    <w:rsid w:val="06ED385A"/>
    <w:rsid w:val="06F70059"/>
    <w:rsid w:val="06FA7F8B"/>
    <w:rsid w:val="076731B7"/>
    <w:rsid w:val="07716FC5"/>
    <w:rsid w:val="08FB0FE7"/>
    <w:rsid w:val="091E5F18"/>
    <w:rsid w:val="09345493"/>
    <w:rsid w:val="096C3CFD"/>
    <w:rsid w:val="09B61D1D"/>
    <w:rsid w:val="09D54310"/>
    <w:rsid w:val="09FB154F"/>
    <w:rsid w:val="0A546CFD"/>
    <w:rsid w:val="0B504F6C"/>
    <w:rsid w:val="0B5A1305"/>
    <w:rsid w:val="0C464B67"/>
    <w:rsid w:val="0C5220D9"/>
    <w:rsid w:val="0D3860E0"/>
    <w:rsid w:val="0D5C24F8"/>
    <w:rsid w:val="0D9074CF"/>
    <w:rsid w:val="0DF21D35"/>
    <w:rsid w:val="0E72036A"/>
    <w:rsid w:val="0E991F2E"/>
    <w:rsid w:val="0EC465C7"/>
    <w:rsid w:val="0EF25E12"/>
    <w:rsid w:val="0F076F0E"/>
    <w:rsid w:val="0F147B80"/>
    <w:rsid w:val="0F1A0C17"/>
    <w:rsid w:val="0F5F2582"/>
    <w:rsid w:val="0F927692"/>
    <w:rsid w:val="0FE07258"/>
    <w:rsid w:val="100D1EA0"/>
    <w:rsid w:val="10425277"/>
    <w:rsid w:val="105F33DE"/>
    <w:rsid w:val="1093081A"/>
    <w:rsid w:val="109D726F"/>
    <w:rsid w:val="10C938E6"/>
    <w:rsid w:val="10EE134C"/>
    <w:rsid w:val="11257CCB"/>
    <w:rsid w:val="113502B4"/>
    <w:rsid w:val="11486757"/>
    <w:rsid w:val="11696386"/>
    <w:rsid w:val="117E6C70"/>
    <w:rsid w:val="1182362F"/>
    <w:rsid w:val="12446910"/>
    <w:rsid w:val="126339CB"/>
    <w:rsid w:val="1264323B"/>
    <w:rsid w:val="127736F8"/>
    <w:rsid w:val="12DC417E"/>
    <w:rsid w:val="137F7A39"/>
    <w:rsid w:val="13984B09"/>
    <w:rsid w:val="14370BB7"/>
    <w:rsid w:val="147A5E14"/>
    <w:rsid w:val="148C265C"/>
    <w:rsid w:val="15277D36"/>
    <w:rsid w:val="155821A6"/>
    <w:rsid w:val="156F440B"/>
    <w:rsid w:val="158B6F91"/>
    <w:rsid w:val="15B64CEA"/>
    <w:rsid w:val="15BD469A"/>
    <w:rsid w:val="15FE0523"/>
    <w:rsid w:val="163E3CF5"/>
    <w:rsid w:val="16B66736"/>
    <w:rsid w:val="16E677CC"/>
    <w:rsid w:val="16F1537A"/>
    <w:rsid w:val="16FB3557"/>
    <w:rsid w:val="173F3922"/>
    <w:rsid w:val="17516686"/>
    <w:rsid w:val="17981ECC"/>
    <w:rsid w:val="17C56467"/>
    <w:rsid w:val="17C80EE8"/>
    <w:rsid w:val="184E163B"/>
    <w:rsid w:val="18B03BBB"/>
    <w:rsid w:val="18BF5B28"/>
    <w:rsid w:val="18C51596"/>
    <w:rsid w:val="18EA31E4"/>
    <w:rsid w:val="18ED7A84"/>
    <w:rsid w:val="18F95CEA"/>
    <w:rsid w:val="19621D06"/>
    <w:rsid w:val="198D36B9"/>
    <w:rsid w:val="19CC7E3D"/>
    <w:rsid w:val="19D724AA"/>
    <w:rsid w:val="1A5A1682"/>
    <w:rsid w:val="1A8C73FB"/>
    <w:rsid w:val="1AE01E2C"/>
    <w:rsid w:val="1AE4580A"/>
    <w:rsid w:val="1AFA595C"/>
    <w:rsid w:val="1B366435"/>
    <w:rsid w:val="1B534F3F"/>
    <w:rsid w:val="1BE42AD4"/>
    <w:rsid w:val="1C20716E"/>
    <w:rsid w:val="1C2C7853"/>
    <w:rsid w:val="1CB2585E"/>
    <w:rsid w:val="1CD17471"/>
    <w:rsid w:val="1CE25C42"/>
    <w:rsid w:val="1CF24F60"/>
    <w:rsid w:val="1DA46EAB"/>
    <w:rsid w:val="1E0378D8"/>
    <w:rsid w:val="1E151015"/>
    <w:rsid w:val="1E160A5E"/>
    <w:rsid w:val="1ECE39CA"/>
    <w:rsid w:val="1EDD3D48"/>
    <w:rsid w:val="1F1067A5"/>
    <w:rsid w:val="1FE83C12"/>
    <w:rsid w:val="20302C6E"/>
    <w:rsid w:val="204F58BE"/>
    <w:rsid w:val="20575BEE"/>
    <w:rsid w:val="2058493F"/>
    <w:rsid w:val="20627D50"/>
    <w:rsid w:val="20764E4F"/>
    <w:rsid w:val="20FF104D"/>
    <w:rsid w:val="213875EF"/>
    <w:rsid w:val="215F6B97"/>
    <w:rsid w:val="21692E78"/>
    <w:rsid w:val="217472F0"/>
    <w:rsid w:val="21AC37EC"/>
    <w:rsid w:val="21BB5BBD"/>
    <w:rsid w:val="2236569B"/>
    <w:rsid w:val="22B34888"/>
    <w:rsid w:val="22BD5B51"/>
    <w:rsid w:val="22C91E20"/>
    <w:rsid w:val="231F476B"/>
    <w:rsid w:val="236100C4"/>
    <w:rsid w:val="23631051"/>
    <w:rsid w:val="238803AB"/>
    <w:rsid w:val="23982FB1"/>
    <w:rsid w:val="23A93ED4"/>
    <w:rsid w:val="23AF5A17"/>
    <w:rsid w:val="23B430A3"/>
    <w:rsid w:val="23BC26B0"/>
    <w:rsid w:val="2404231B"/>
    <w:rsid w:val="24C93EFC"/>
    <w:rsid w:val="251B4E91"/>
    <w:rsid w:val="259735DB"/>
    <w:rsid w:val="25A4254E"/>
    <w:rsid w:val="25D328A4"/>
    <w:rsid w:val="25E976BE"/>
    <w:rsid w:val="266909D3"/>
    <w:rsid w:val="26C02525"/>
    <w:rsid w:val="26DB4E4E"/>
    <w:rsid w:val="270E2A3A"/>
    <w:rsid w:val="27442CF3"/>
    <w:rsid w:val="27C5000C"/>
    <w:rsid w:val="27D13E51"/>
    <w:rsid w:val="27E92042"/>
    <w:rsid w:val="280276BA"/>
    <w:rsid w:val="284D2C05"/>
    <w:rsid w:val="285B3E08"/>
    <w:rsid w:val="28601479"/>
    <w:rsid w:val="28DA2254"/>
    <w:rsid w:val="29B00451"/>
    <w:rsid w:val="29CD3753"/>
    <w:rsid w:val="29DA25E9"/>
    <w:rsid w:val="29F25CF4"/>
    <w:rsid w:val="2A4B7FD4"/>
    <w:rsid w:val="2A5243EB"/>
    <w:rsid w:val="2B33365A"/>
    <w:rsid w:val="2B3F2E9B"/>
    <w:rsid w:val="2BB76C4E"/>
    <w:rsid w:val="2C6E42D9"/>
    <w:rsid w:val="2C6F75CD"/>
    <w:rsid w:val="2CFA4689"/>
    <w:rsid w:val="2CFC2501"/>
    <w:rsid w:val="2D0D4D4F"/>
    <w:rsid w:val="2D7D465F"/>
    <w:rsid w:val="2D953FDA"/>
    <w:rsid w:val="2D960EE9"/>
    <w:rsid w:val="2DDE5958"/>
    <w:rsid w:val="2E5137D0"/>
    <w:rsid w:val="2E792C04"/>
    <w:rsid w:val="2EEE4955"/>
    <w:rsid w:val="2F021DE5"/>
    <w:rsid w:val="2F436A23"/>
    <w:rsid w:val="2F8B4468"/>
    <w:rsid w:val="2FB32C34"/>
    <w:rsid w:val="2FBF7DE5"/>
    <w:rsid w:val="2FCA3030"/>
    <w:rsid w:val="30082B16"/>
    <w:rsid w:val="300E2677"/>
    <w:rsid w:val="30CE58C3"/>
    <w:rsid w:val="30D85F75"/>
    <w:rsid w:val="312435B9"/>
    <w:rsid w:val="31453464"/>
    <w:rsid w:val="31AB6E5E"/>
    <w:rsid w:val="31C3003D"/>
    <w:rsid w:val="324C7488"/>
    <w:rsid w:val="328F4754"/>
    <w:rsid w:val="330768A4"/>
    <w:rsid w:val="330F1CEB"/>
    <w:rsid w:val="33497F94"/>
    <w:rsid w:val="338350FE"/>
    <w:rsid w:val="339115DC"/>
    <w:rsid w:val="33D66034"/>
    <w:rsid w:val="33EF3043"/>
    <w:rsid w:val="34C309B1"/>
    <w:rsid w:val="350477D0"/>
    <w:rsid w:val="358D3D69"/>
    <w:rsid w:val="35980D44"/>
    <w:rsid w:val="359A3155"/>
    <w:rsid w:val="35D30C8E"/>
    <w:rsid w:val="35D8378C"/>
    <w:rsid w:val="35D96FD4"/>
    <w:rsid w:val="36276642"/>
    <w:rsid w:val="364A6F3B"/>
    <w:rsid w:val="366454EA"/>
    <w:rsid w:val="36F84D33"/>
    <w:rsid w:val="371F1347"/>
    <w:rsid w:val="374147B7"/>
    <w:rsid w:val="3764334B"/>
    <w:rsid w:val="37822F43"/>
    <w:rsid w:val="37AE0DC0"/>
    <w:rsid w:val="383F6277"/>
    <w:rsid w:val="38464A78"/>
    <w:rsid w:val="396D21BF"/>
    <w:rsid w:val="396F6CEB"/>
    <w:rsid w:val="39B905C0"/>
    <w:rsid w:val="3A2F70B6"/>
    <w:rsid w:val="3A36687C"/>
    <w:rsid w:val="3AD30083"/>
    <w:rsid w:val="3B124896"/>
    <w:rsid w:val="3B1845D0"/>
    <w:rsid w:val="3B6741B2"/>
    <w:rsid w:val="3BFB41EB"/>
    <w:rsid w:val="3C2C0044"/>
    <w:rsid w:val="3C4D41CF"/>
    <w:rsid w:val="3C701CD5"/>
    <w:rsid w:val="3C8A3C93"/>
    <w:rsid w:val="3C9C6C81"/>
    <w:rsid w:val="3CAA62A1"/>
    <w:rsid w:val="3CB15C61"/>
    <w:rsid w:val="3D046FE0"/>
    <w:rsid w:val="3D320BF7"/>
    <w:rsid w:val="3E365918"/>
    <w:rsid w:val="3E6675D5"/>
    <w:rsid w:val="3EB10642"/>
    <w:rsid w:val="3EC96340"/>
    <w:rsid w:val="3ED56BD2"/>
    <w:rsid w:val="3EEE3679"/>
    <w:rsid w:val="3F1E1B1E"/>
    <w:rsid w:val="3F4D6968"/>
    <w:rsid w:val="3F522DEF"/>
    <w:rsid w:val="3FC460BF"/>
    <w:rsid w:val="3FC503BD"/>
    <w:rsid w:val="3FE92DE2"/>
    <w:rsid w:val="3FEF2BE3"/>
    <w:rsid w:val="401C77CE"/>
    <w:rsid w:val="40356C65"/>
    <w:rsid w:val="40415CED"/>
    <w:rsid w:val="40C03491"/>
    <w:rsid w:val="410C5C90"/>
    <w:rsid w:val="4137558E"/>
    <w:rsid w:val="41BD2B75"/>
    <w:rsid w:val="41DF213A"/>
    <w:rsid w:val="41E504F5"/>
    <w:rsid w:val="41EE4C73"/>
    <w:rsid w:val="420D7941"/>
    <w:rsid w:val="42DA52CB"/>
    <w:rsid w:val="4301345D"/>
    <w:rsid w:val="43245CE3"/>
    <w:rsid w:val="449B6B1A"/>
    <w:rsid w:val="44E52D11"/>
    <w:rsid w:val="457D2FDC"/>
    <w:rsid w:val="457F5B19"/>
    <w:rsid w:val="459F0331"/>
    <w:rsid w:val="46972D4E"/>
    <w:rsid w:val="469D6AD4"/>
    <w:rsid w:val="46C61088"/>
    <w:rsid w:val="46D3282B"/>
    <w:rsid w:val="46DB3DE3"/>
    <w:rsid w:val="46F81090"/>
    <w:rsid w:val="47E93DC9"/>
    <w:rsid w:val="47F93037"/>
    <w:rsid w:val="482D22DC"/>
    <w:rsid w:val="48593386"/>
    <w:rsid w:val="49027E2A"/>
    <w:rsid w:val="495216B7"/>
    <w:rsid w:val="49B92390"/>
    <w:rsid w:val="4A9F527D"/>
    <w:rsid w:val="4AE55D5C"/>
    <w:rsid w:val="4B3113E1"/>
    <w:rsid w:val="4B4F7FF5"/>
    <w:rsid w:val="4B6C67EC"/>
    <w:rsid w:val="4BC40DCF"/>
    <w:rsid w:val="4C43449C"/>
    <w:rsid w:val="4C447201"/>
    <w:rsid w:val="4C917FB8"/>
    <w:rsid w:val="4CDC4310"/>
    <w:rsid w:val="4D252D21"/>
    <w:rsid w:val="4D5423D9"/>
    <w:rsid w:val="4D802337"/>
    <w:rsid w:val="4DAC6D13"/>
    <w:rsid w:val="4EA07161"/>
    <w:rsid w:val="4F0855AB"/>
    <w:rsid w:val="4FEB47AE"/>
    <w:rsid w:val="501B3F7A"/>
    <w:rsid w:val="505E126E"/>
    <w:rsid w:val="50646CB3"/>
    <w:rsid w:val="50755B03"/>
    <w:rsid w:val="50DD4A1A"/>
    <w:rsid w:val="50F04F55"/>
    <w:rsid w:val="51306CF3"/>
    <w:rsid w:val="51463765"/>
    <w:rsid w:val="51867BCE"/>
    <w:rsid w:val="51AD0CC5"/>
    <w:rsid w:val="51C4675D"/>
    <w:rsid w:val="524818B8"/>
    <w:rsid w:val="526F1C8D"/>
    <w:rsid w:val="52A41123"/>
    <w:rsid w:val="52AC4F9D"/>
    <w:rsid w:val="52BF260B"/>
    <w:rsid w:val="52D92ACB"/>
    <w:rsid w:val="52ED0BB5"/>
    <w:rsid w:val="531C2C2F"/>
    <w:rsid w:val="536846E4"/>
    <w:rsid w:val="53BE2143"/>
    <w:rsid w:val="53D43C9C"/>
    <w:rsid w:val="53EF736E"/>
    <w:rsid w:val="54166731"/>
    <w:rsid w:val="54D35131"/>
    <w:rsid w:val="54D73513"/>
    <w:rsid w:val="554659C2"/>
    <w:rsid w:val="55507DAF"/>
    <w:rsid w:val="5583610F"/>
    <w:rsid w:val="55977E1F"/>
    <w:rsid w:val="559C4F6C"/>
    <w:rsid w:val="55ED4640"/>
    <w:rsid w:val="565E3E4F"/>
    <w:rsid w:val="56685052"/>
    <w:rsid w:val="56981A06"/>
    <w:rsid w:val="56EF07AE"/>
    <w:rsid w:val="57383440"/>
    <w:rsid w:val="5782487D"/>
    <w:rsid w:val="579A24B0"/>
    <w:rsid w:val="583767B6"/>
    <w:rsid w:val="59037741"/>
    <w:rsid w:val="59111BB8"/>
    <w:rsid w:val="59424756"/>
    <w:rsid w:val="59A2105E"/>
    <w:rsid w:val="59B13187"/>
    <w:rsid w:val="59BE360B"/>
    <w:rsid w:val="59E63210"/>
    <w:rsid w:val="5A0753C0"/>
    <w:rsid w:val="5A310113"/>
    <w:rsid w:val="5A466239"/>
    <w:rsid w:val="5A5B7D33"/>
    <w:rsid w:val="5A6C18A9"/>
    <w:rsid w:val="5ADD3ACC"/>
    <w:rsid w:val="5B0423B4"/>
    <w:rsid w:val="5B7B0377"/>
    <w:rsid w:val="5BC326E1"/>
    <w:rsid w:val="5BC55123"/>
    <w:rsid w:val="5BF91350"/>
    <w:rsid w:val="5C6F3E31"/>
    <w:rsid w:val="5C7539D8"/>
    <w:rsid w:val="5C9504FA"/>
    <w:rsid w:val="5D093CB0"/>
    <w:rsid w:val="5D0C0281"/>
    <w:rsid w:val="5DA85609"/>
    <w:rsid w:val="5DAF0841"/>
    <w:rsid w:val="5DF34D6E"/>
    <w:rsid w:val="5E572E5C"/>
    <w:rsid w:val="5EA3078E"/>
    <w:rsid w:val="5EC02353"/>
    <w:rsid w:val="5F833C40"/>
    <w:rsid w:val="5F976ECF"/>
    <w:rsid w:val="5FDE1EFB"/>
    <w:rsid w:val="60F70B0A"/>
    <w:rsid w:val="610F0703"/>
    <w:rsid w:val="61241B82"/>
    <w:rsid w:val="617678F3"/>
    <w:rsid w:val="61B7392D"/>
    <w:rsid w:val="61F47E6B"/>
    <w:rsid w:val="625E6419"/>
    <w:rsid w:val="62AF6B96"/>
    <w:rsid w:val="6306210D"/>
    <w:rsid w:val="63903465"/>
    <w:rsid w:val="639A466F"/>
    <w:rsid w:val="64096D8B"/>
    <w:rsid w:val="64564134"/>
    <w:rsid w:val="65102634"/>
    <w:rsid w:val="65F028CC"/>
    <w:rsid w:val="661A088B"/>
    <w:rsid w:val="661C5034"/>
    <w:rsid w:val="664C23E4"/>
    <w:rsid w:val="667E359C"/>
    <w:rsid w:val="669B6741"/>
    <w:rsid w:val="675A3A35"/>
    <w:rsid w:val="677C5E6A"/>
    <w:rsid w:val="67D31435"/>
    <w:rsid w:val="67D66668"/>
    <w:rsid w:val="67D740EA"/>
    <w:rsid w:val="680F210F"/>
    <w:rsid w:val="68464354"/>
    <w:rsid w:val="685C7FAA"/>
    <w:rsid w:val="689807FB"/>
    <w:rsid w:val="68CB3A1D"/>
    <w:rsid w:val="68D953D0"/>
    <w:rsid w:val="68F57849"/>
    <w:rsid w:val="69161ED5"/>
    <w:rsid w:val="69207DE4"/>
    <w:rsid w:val="69294AD6"/>
    <w:rsid w:val="693A1603"/>
    <w:rsid w:val="693C6701"/>
    <w:rsid w:val="69B212C8"/>
    <w:rsid w:val="6A9E21F4"/>
    <w:rsid w:val="6ABB375B"/>
    <w:rsid w:val="6B8F257F"/>
    <w:rsid w:val="6BB55973"/>
    <w:rsid w:val="6D1C44E3"/>
    <w:rsid w:val="6D6F26C8"/>
    <w:rsid w:val="6E804B49"/>
    <w:rsid w:val="6EA51580"/>
    <w:rsid w:val="6F077737"/>
    <w:rsid w:val="6F1839C7"/>
    <w:rsid w:val="6F260569"/>
    <w:rsid w:val="6F5C2C41"/>
    <w:rsid w:val="6F6C7DDA"/>
    <w:rsid w:val="6FE969BF"/>
    <w:rsid w:val="70241EE0"/>
    <w:rsid w:val="708C1816"/>
    <w:rsid w:val="70961FD8"/>
    <w:rsid w:val="70BF3836"/>
    <w:rsid w:val="71637E85"/>
    <w:rsid w:val="71A82A1C"/>
    <w:rsid w:val="71EE64A4"/>
    <w:rsid w:val="726F0BDE"/>
    <w:rsid w:val="72A02D9E"/>
    <w:rsid w:val="72D263F7"/>
    <w:rsid w:val="731D6723"/>
    <w:rsid w:val="73BD64DC"/>
    <w:rsid w:val="7429301A"/>
    <w:rsid w:val="7435538A"/>
    <w:rsid w:val="749C3453"/>
    <w:rsid w:val="74A90BF5"/>
    <w:rsid w:val="74C13381"/>
    <w:rsid w:val="750E235A"/>
    <w:rsid w:val="75211E01"/>
    <w:rsid w:val="75242F8C"/>
    <w:rsid w:val="7564770B"/>
    <w:rsid w:val="758925BF"/>
    <w:rsid w:val="759E302F"/>
    <w:rsid w:val="75B456A8"/>
    <w:rsid w:val="766B1230"/>
    <w:rsid w:val="76F31A34"/>
    <w:rsid w:val="77597A90"/>
    <w:rsid w:val="779A36F9"/>
    <w:rsid w:val="77C20B62"/>
    <w:rsid w:val="77CF5528"/>
    <w:rsid w:val="780D39EE"/>
    <w:rsid w:val="788929B3"/>
    <w:rsid w:val="78D94334"/>
    <w:rsid w:val="78F2444A"/>
    <w:rsid w:val="795C6B7B"/>
    <w:rsid w:val="79984344"/>
    <w:rsid w:val="79D17B2B"/>
    <w:rsid w:val="79F06C90"/>
    <w:rsid w:val="79F52AB4"/>
    <w:rsid w:val="7A5F16D0"/>
    <w:rsid w:val="7AB931D5"/>
    <w:rsid w:val="7B0A41D0"/>
    <w:rsid w:val="7B0B0906"/>
    <w:rsid w:val="7B3A7BEE"/>
    <w:rsid w:val="7C3B7B5E"/>
    <w:rsid w:val="7C8426F4"/>
    <w:rsid w:val="7CC42937"/>
    <w:rsid w:val="7CF82422"/>
    <w:rsid w:val="7D0F5A2F"/>
    <w:rsid w:val="7D325553"/>
    <w:rsid w:val="7D50055E"/>
    <w:rsid w:val="7D944E24"/>
    <w:rsid w:val="7DB617E7"/>
    <w:rsid w:val="7DDD1574"/>
    <w:rsid w:val="7E6924EF"/>
    <w:rsid w:val="7EA23BA4"/>
    <w:rsid w:val="7EB0571E"/>
    <w:rsid w:val="7EFE352E"/>
    <w:rsid w:val="7F5F5A8F"/>
    <w:rsid w:val="7FD87E9A"/>
    <w:rsid w:val="7FFA3A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customStyle="1" w:styleId="23">
    <w:name w:val="默认"/>
    <w:qFormat/>
    <w:uiPriority w:val="0"/>
    <w:rPr>
      <w:rFonts w:hint="eastAsia" w:ascii="Arial Unicode MS" w:hAnsi="Arial Unicode MS" w:eastAsia="Palatino" w:cs="Arial Unicode MS"/>
      <w:color w:val="000000"/>
      <w:sz w:val="24"/>
      <w:szCs w:val="24"/>
      <w:lang w:val="zh-TW" w:eastAsia="zh-TW" w:bidi="ar-SA"/>
    </w:rPr>
  </w:style>
  <w:style w:type="paragraph" w:styleId="24">
    <w:name w:val="Body Text Indent"/>
    <w:basedOn w:val="1"/>
    <w:next w:val="25"/>
    <w:link w:val="72"/>
    <w:qFormat/>
    <w:uiPriority w:val="0"/>
    <w:pPr>
      <w:spacing w:line="700" w:lineRule="exact"/>
      <w:ind w:left="960"/>
    </w:pPr>
    <w:rPr>
      <w:sz w:val="44"/>
    </w:rPr>
  </w:style>
  <w:style w:type="paragraph" w:customStyle="1" w:styleId="25">
    <w:name w:val="样式 宋体 五号 行距: 单倍行距"/>
    <w:basedOn w:val="1"/>
    <w:qFormat/>
    <w:uiPriority w:val="0"/>
    <w:pPr>
      <w:adjustRightInd w:val="0"/>
      <w:jc w:val="left"/>
    </w:pPr>
    <w:rPr>
      <w:rFonts w:ascii="宋体" w:hAnsi="宋体"/>
      <w:kern w:val="0"/>
      <w:sz w:val="21"/>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3"/>
    <w:qFormat/>
    <w:uiPriority w:val="0"/>
  </w:style>
  <w:style w:type="paragraph" w:styleId="35">
    <w:name w:val="Body Text Indent 2"/>
    <w:basedOn w:val="1"/>
    <w:link w:val="7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5"/>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76"/>
    <w:qFormat/>
    <w:uiPriority w:val="0"/>
    <w:pPr>
      <w:adjustRightInd/>
      <w:spacing w:line="240" w:lineRule="auto"/>
      <w:textAlignment w:val="auto"/>
    </w:pPr>
  </w:style>
  <w:style w:type="paragraph" w:styleId="57">
    <w:name w:val="Body Text First Indent"/>
    <w:basedOn w:val="22"/>
    <w:next w:val="1"/>
    <w:qFormat/>
    <w:uiPriority w:val="0"/>
    <w:pPr>
      <w:spacing w:line="360" w:lineRule="auto"/>
      <w:ind w:firstLine="420"/>
    </w:pPr>
    <w:rPr>
      <w:rFonts w:ascii="宋体" w:hAnsi="宋体"/>
      <w:sz w:val="24"/>
    </w:rPr>
  </w:style>
  <w:style w:type="paragraph" w:styleId="58">
    <w:name w:val="Body Text First Indent 2"/>
    <w:basedOn w:val="24"/>
    <w:next w:val="57"/>
    <w:link w:val="77"/>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标题 3 Char"/>
    <w:link w:val="2"/>
    <w:qFormat/>
    <w:uiPriority w:val="0"/>
    <w:rPr>
      <w:rFonts w:eastAsia="宋体"/>
      <w:b/>
      <w:kern w:val="2"/>
      <w:sz w:val="32"/>
      <w:lang w:val="en-US" w:eastAsia="zh-CN"/>
    </w:rPr>
  </w:style>
  <w:style w:type="character" w:customStyle="1" w:styleId="70">
    <w:name w:val="标题 2 Char"/>
    <w:link w:val="4"/>
    <w:qFormat/>
    <w:uiPriority w:val="0"/>
    <w:rPr>
      <w:rFonts w:ascii="Arial" w:hAnsi="Arial" w:eastAsia="黑体"/>
      <w:b/>
      <w:kern w:val="2"/>
      <w:sz w:val="32"/>
    </w:rPr>
  </w:style>
  <w:style w:type="character" w:customStyle="1" w:styleId="71">
    <w:name w:val="批注文字 Char"/>
    <w:link w:val="19"/>
    <w:qFormat/>
    <w:uiPriority w:val="0"/>
    <w:rPr>
      <w:sz w:val="24"/>
    </w:rPr>
  </w:style>
  <w:style w:type="character" w:customStyle="1" w:styleId="72">
    <w:name w:val="正文文本缩进 Char"/>
    <w:link w:val="24"/>
    <w:qFormat/>
    <w:uiPriority w:val="0"/>
    <w:rPr>
      <w:kern w:val="2"/>
      <w:sz w:val="44"/>
    </w:rPr>
  </w:style>
  <w:style w:type="character" w:customStyle="1" w:styleId="73">
    <w:name w:val="日期 Char"/>
    <w:link w:val="34"/>
    <w:qFormat/>
    <w:uiPriority w:val="0"/>
    <w:rPr>
      <w:kern w:val="2"/>
      <w:sz w:val="28"/>
    </w:rPr>
  </w:style>
  <w:style w:type="character" w:customStyle="1" w:styleId="74">
    <w:name w:val="正文文本缩进 2 Char"/>
    <w:link w:val="35"/>
    <w:qFormat/>
    <w:uiPriority w:val="0"/>
    <w:rPr>
      <w:kern w:val="2"/>
      <w:sz w:val="28"/>
    </w:rPr>
  </w:style>
  <w:style w:type="character" w:customStyle="1" w:styleId="75">
    <w:name w:val="脚注文本 Char"/>
    <w:link w:val="42"/>
    <w:qFormat/>
    <w:uiPriority w:val="0"/>
    <w:rPr>
      <w:kern w:val="2"/>
      <w:sz w:val="18"/>
    </w:rPr>
  </w:style>
  <w:style w:type="character" w:customStyle="1" w:styleId="76">
    <w:name w:val="批注主题 Char"/>
    <w:link w:val="56"/>
    <w:qFormat/>
    <w:uiPriority w:val="0"/>
    <w:rPr>
      <w:sz w:val="24"/>
    </w:rPr>
  </w:style>
  <w:style w:type="character" w:customStyle="1" w:styleId="77">
    <w:name w:val="正文首行缩进 2 Char"/>
    <w:link w:val="58"/>
    <w:qFormat/>
    <w:uiPriority w:val="0"/>
    <w:rPr>
      <w:kern w:val="2"/>
      <w:sz w:val="44"/>
    </w:rPr>
  </w:style>
  <w:style w:type="paragraph" w:customStyle="1" w:styleId="7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9">
    <w:name w:val="Char Char"/>
    <w:qFormat/>
    <w:uiPriority w:val="0"/>
    <w:rPr>
      <w:rFonts w:ascii="宋体" w:hAnsi="宋体" w:eastAsia="宋体"/>
      <w:kern w:val="2"/>
      <w:sz w:val="24"/>
      <w:lang w:val="en-US" w:eastAsia="zh-CN" w:bidi="ar-SA"/>
    </w:rPr>
  </w:style>
  <w:style w:type="character" w:customStyle="1" w:styleId="80">
    <w:name w:val="content-white1"/>
    <w:qFormat/>
    <w:uiPriority w:val="0"/>
    <w:rPr>
      <w:color w:val="auto"/>
      <w:sz w:val="18"/>
      <w:u w:val="none"/>
    </w:rPr>
  </w:style>
  <w:style w:type="character" w:customStyle="1" w:styleId="81">
    <w:name w:val="Char Char6"/>
    <w:qFormat/>
    <w:uiPriority w:val="0"/>
    <w:rPr>
      <w:rFonts w:ascii="仿宋_GB2312" w:eastAsia="仿宋_GB2312"/>
      <w:kern w:val="2"/>
      <w:sz w:val="32"/>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未命名11"/>
    <w:qFormat/>
    <w:uiPriority w:val="0"/>
    <w:rPr>
      <w:color w:val="77FFFF"/>
      <w:sz w:val="24"/>
    </w:rPr>
  </w:style>
  <w:style w:type="character" w:customStyle="1" w:styleId="88">
    <w:name w:val="标书正文:  0.74 厘米 Char1"/>
    <w:qFormat/>
    <w:uiPriority w:val="0"/>
    <w:rPr>
      <w:rFonts w:eastAsia="宋体"/>
      <w:kern w:val="2"/>
      <w:sz w:val="24"/>
      <w:lang w:val="en-US" w:eastAsia="zh-CN"/>
    </w:rPr>
  </w:style>
  <w:style w:type="character" w:customStyle="1" w:styleId="89">
    <w:name w:val="列出段落 Char"/>
    <w:link w:val="90"/>
    <w:qFormat/>
    <w:locked/>
    <w:uiPriority w:val="34"/>
    <w:rPr>
      <w:kern w:val="2"/>
      <w:sz w:val="28"/>
    </w:rPr>
  </w:style>
  <w:style w:type="paragraph" w:styleId="90">
    <w:name w:val="List Paragraph"/>
    <w:basedOn w:val="1"/>
    <w:link w:val="89"/>
    <w:qFormat/>
    <w:uiPriority w:val="34"/>
    <w:pPr>
      <w:ind w:firstLine="420" w:firstLineChars="200"/>
    </w:pPr>
  </w:style>
  <w:style w:type="character" w:customStyle="1" w:styleId="91">
    <w:name w:val="样式 宋体"/>
    <w:qFormat/>
    <w:uiPriority w:val="0"/>
    <w:rPr>
      <w:rFonts w:ascii="宋体" w:hAnsi="宋体" w:eastAsia="宋体"/>
      <w:sz w:val="28"/>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Char Char4"/>
    <w:qFormat/>
    <w:uiPriority w:val="0"/>
    <w:rPr>
      <w:rFonts w:eastAsia="宋体"/>
      <w:b/>
      <w:kern w:val="2"/>
      <w:sz w:val="21"/>
      <w:lang w:val="en-US" w:eastAsia="zh-CN"/>
    </w:rPr>
  </w:style>
  <w:style w:type="character" w:customStyle="1" w:styleId="95">
    <w:name w:val="title_emph1"/>
    <w:qFormat/>
    <w:uiPriority w:val="0"/>
    <w:rPr>
      <w:rFonts w:hint="default" w:ascii="Arial" w:hAnsi="Arial"/>
      <w:b/>
      <w:sz w:val="20"/>
    </w:rPr>
  </w:style>
  <w:style w:type="character" w:customStyle="1" w:styleId="96">
    <w:name w:val="访问过的超链接1"/>
    <w:qFormat/>
    <w:uiPriority w:val="0"/>
    <w:rPr>
      <w:color w:val="800080"/>
      <w:u w:val="single"/>
    </w:rPr>
  </w:style>
  <w:style w:type="character" w:customStyle="1" w:styleId="97">
    <w:name w:val="Char Char7"/>
    <w:qFormat/>
    <w:uiPriority w:val="0"/>
    <w:rPr>
      <w:rFonts w:ascii="宋体" w:hAnsi="宋体" w:eastAsia="宋体"/>
      <w:kern w:val="2"/>
      <w:sz w:val="28"/>
    </w:rPr>
  </w:style>
  <w:style w:type="character" w:customStyle="1" w:styleId="98">
    <w:name w:val="Char Char5"/>
    <w:qFormat/>
    <w:uiPriority w:val="0"/>
    <w:rPr>
      <w:rFonts w:ascii="Arial" w:hAnsi="Arial" w:eastAsia="宋体"/>
      <w:b/>
      <w:smallCaps/>
      <w:kern w:val="28"/>
      <w:sz w:val="36"/>
      <w:lang w:val="en-US" w:eastAsia="en-US"/>
    </w:rPr>
  </w:style>
  <w:style w:type="character" w:customStyle="1" w:styleId="99">
    <w:name w:val="正文 + 三号 Char"/>
    <w:qFormat/>
    <w:uiPriority w:val="0"/>
    <w:rPr>
      <w:rFonts w:eastAsia="宋体"/>
      <w:kern w:val="2"/>
      <w:sz w:val="21"/>
      <w:lang w:val="en-US" w:eastAsia="zh-CN"/>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font51"/>
    <w:basedOn w:val="62"/>
    <w:qFormat/>
    <w:uiPriority w:val="0"/>
    <w:rPr>
      <w:rFonts w:hint="eastAsia" w:ascii="宋体" w:hAnsi="宋体" w:eastAsia="宋体" w:cs="宋体"/>
      <w:color w:val="000000"/>
      <w:sz w:val="24"/>
      <w:szCs w:val="24"/>
      <w:u w:val="none"/>
    </w:rPr>
  </w:style>
  <w:style w:type="character" w:customStyle="1" w:styleId="102">
    <w:name w:val="Char Char11"/>
    <w:qFormat/>
    <w:uiPriority w:val="0"/>
    <w:rPr>
      <w:rFonts w:ascii="宋体"/>
      <w:kern w:val="2"/>
      <w:sz w:val="28"/>
    </w:rPr>
  </w:style>
  <w:style w:type="character" w:customStyle="1" w:styleId="103">
    <w:name w:val="NormalCharacter"/>
    <w:semiHidden/>
    <w:qFormat/>
    <w:uiPriority w:val="0"/>
  </w:style>
  <w:style w:type="character" w:customStyle="1" w:styleId="104">
    <w:name w:val="Table Heading Char Char"/>
    <w:qFormat/>
    <w:uiPriority w:val="0"/>
    <w:rPr>
      <w:rFonts w:ascii="Arial" w:hAnsi="Arial" w:eastAsia="黑体"/>
      <w:kern w:val="2"/>
      <w:sz w:val="18"/>
      <w:lang w:val="en-US" w:eastAsia="zh-CN"/>
    </w:rPr>
  </w:style>
  <w:style w:type="character" w:customStyle="1" w:styleId="105">
    <w:name w:val="Table Text Char"/>
    <w:link w:val="106"/>
    <w:qFormat/>
    <w:uiPriority w:val="0"/>
    <w:rPr>
      <w:rFonts w:ascii="Arial" w:hAnsi="Arial"/>
      <w:kern w:val="2"/>
      <w:sz w:val="18"/>
      <w:lang w:val="en-US" w:eastAsia="zh-CN" w:bidi="ar-SA"/>
    </w:rPr>
  </w:style>
  <w:style w:type="paragraph" w:customStyle="1" w:styleId="106">
    <w:name w:val="Table Text"/>
    <w:link w:val="105"/>
    <w:qFormat/>
    <w:uiPriority w:val="0"/>
    <w:pPr>
      <w:snapToGrid w:val="0"/>
      <w:spacing w:before="80" w:after="80"/>
    </w:pPr>
    <w:rPr>
      <w:rFonts w:ascii="Arial" w:hAnsi="Arial" w:eastAsia="宋体" w:cs="Times New Roman"/>
      <w:kern w:val="2"/>
      <w:sz w:val="18"/>
      <w:lang w:val="en-US" w:eastAsia="zh-CN" w:bidi="ar-SA"/>
    </w:rPr>
  </w:style>
  <w:style w:type="character" w:customStyle="1" w:styleId="107">
    <w:name w:val="Char Char2"/>
    <w:qFormat/>
    <w:uiPriority w:val="0"/>
    <w:rPr>
      <w:rFonts w:eastAsia="宋体"/>
      <w:kern w:val="2"/>
      <w:sz w:val="18"/>
      <w:lang w:val="en-US" w:eastAsia="zh-CN"/>
    </w:rPr>
  </w:style>
  <w:style w:type="character" w:customStyle="1" w:styleId="108">
    <w:name w:val="top-det1"/>
    <w:qFormat/>
    <w:uiPriority w:val="0"/>
    <w:rPr>
      <w:b/>
      <w:color w:val="000000"/>
    </w:rPr>
  </w:style>
  <w:style w:type="character" w:customStyle="1" w:styleId="109">
    <w:name w:val="Char Char3"/>
    <w:qFormat/>
    <w:uiPriority w:val="0"/>
    <w:rPr>
      <w:rFonts w:eastAsia="宋体"/>
      <w:kern w:val="2"/>
      <w:sz w:val="18"/>
      <w:lang w:val="en-US" w:eastAsia="zh-CN"/>
    </w:rPr>
  </w:style>
  <w:style w:type="character" w:customStyle="1" w:styleId="110">
    <w:name w:val="font1"/>
    <w:qFormat/>
    <w:uiPriority w:val="0"/>
    <w:rPr>
      <w:color w:val="000000"/>
      <w:sz w:val="18"/>
    </w:rPr>
  </w:style>
  <w:style w:type="character" w:customStyle="1" w:styleId="111">
    <w:name w:val="crowed11"/>
    <w:qFormat/>
    <w:uiPriority w:val="0"/>
    <w:rPr>
      <w:rFonts w:hint="default"/>
      <w:sz w:val="24"/>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Lines="50" w:line="360" w:lineRule="auto"/>
      <w:ind w:firstLine="200" w:firstLineChars="200"/>
    </w:pPr>
    <w:rPr>
      <w:spacing w:val="2"/>
      <w:sz w:val="24"/>
    </w:rPr>
  </w:style>
  <w:style w:type="paragraph" w:customStyle="1" w:styleId="114">
    <w:name w:val="没有缩进（为图形使用）"/>
    <w:basedOn w:val="1"/>
    <w:qFormat/>
    <w:uiPriority w:val="0"/>
    <w:pPr>
      <w:spacing w:before="120" w:after="120" w:line="360" w:lineRule="auto"/>
    </w:pPr>
    <w:rPr>
      <w:sz w:val="24"/>
    </w:rPr>
  </w:style>
  <w:style w:type="paragraph" w:customStyle="1" w:styleId="115">
    <w:name w:val="标书正文:  0.74 厘米"/>
    <w:basedOn w:val="1"/>
    <w:qFormat/>
    <w:uiPriority w:val="0"/>
    <w:pPr>
      <w:snapToGrid w:val="0"/>
      <w:spacing w:line="360" w:lineRule="auto"/>
      <w:ind w:firstLine="420"/>
    </w:pPr>
    <w:rPr>
      <w:sz w:val="24"/>
    </w:rPr>
  </w:style>
  <w:style w:type="paragraph" w:customStyle="1" w:styleId="11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7">
    <w:name w:val="标题无"/>
    <w:basedOn w:val="1"/>
    <w:qFormat/>
    <w:uiPriority w:val="0"/>
    <w:pPr>
      <w:spacing w:line="360" w:lineRule="auto"/>
    </w:pPr>
    <w:rPr>
      <w:sz w:val="24"/>
    </w:rPr>
  </w:style>
  <w:style w:type="paragraph" w:customStyle="1" w:styleId="118">
    <w:name w:val="文本框样式1"/>
    <w:basedOn w:val="1"/>
    <w:qFormat/>
    <w:uiPriority w:val="0"/>
    <w:pPr>
      <w:adjustRightInd w:val="0"/>
      <w:snapToGrid w:val="0"/>
      <w:spacing w:before="60" w:line="180" w:lineRule="exact"/>
      <w:jc w:val="center"/>
    </w:pPr>
    <w:rPr>
      <w:sz w:val="21"/>
    </w:rPr>
  </w:style>
  <w:style w:type="paragraph" w:customStyle="1" w:styleId="119">
    <w:name w:val="正文表格"/>
    <w:basedOn w:val="1"/>
    <w:qFormat/>
    <w:uiPriority w:val="0"/>
    <w:pPr>
      <w:adjustRightInd w:val="0"/>
      <w:spacing w:before="40" w:after="40"/>
    </w:pPr>
    <w:rPr>
      <w:sz w:val="24"/>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Char Char14 Char Char"/>
    <w:basedOn w:val="1"/>
    <w:qFormat/>
    <w:uiPriority w:val="0"/>
    <w:rPr>
      <w:sz w:val="21"/>
      <w:szCs w:val="24"/>
    </w:rPr>
  </w:style>
  <w:style w:type="paragraph" w:customStyle="1" w:styleId="123">
    <w:name w:val="样式1xz"/>
    <w:basedOn w:val="1"/>
    <w:qFormat/>
    <w:uiPriority w:val="0"/>
    <w:pPr>
      <w:tabs>
        <w:tab w:val="left" w:pos="1050"/>
        <w:tab w:val="right" w:leader="dot" w:pos="8296"/>
      </w:tabs>
    </w:pPr>
    <w:rPr>
      <w:caps/>
      <w:spacing w:val="20"/>
      <w:sz w:val="24"/>
    </w:rPr>
  </w:style>
  <w:style w:type="paragraph" w:customStyle="1" w:styleId="1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5">
    <w:name w:val="Title - Revision"/>
    <w:basedOn w:val="55"/>
    <w:qFormat/>
    <w:uiPriority w:val="0"/>
    <w:pPr>
      <w:spacing w:before="720"/>
    </w:p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29">
    <w:name w:val="00"/>
    <w:basedOn w:val="1"/>
    <w:qFormat/>
    <w:uiPriority w:val="0"/>
    <w:pPr>
      <w:autoSpaceDE w:val="0"/>
      <w:autoSpaceDN w:val="0"/>
      <w:adjustRightInd w:val="0"/>
      <w:jc w:val="left"/>
    </w:pPr>
    <w:rPr>
      <w:rFonts w:ascii="黑体" w:eastAsia="黑体"/>
      <w:b/>
      <w:kern w:val="0"/>
      <w:sz w:val="20"/>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_Style 130"/>
    <w:unhideWhenUsed/>
    <w:qFormat/>
    <w:uiPriority w:val="99"/>
    <w:rPr>
      <w:rFonts w:ascii="Times New Roman" w:hAnsi="Times New Roman" w:eastAsia="宋体" w:cs="Times New Roman"/>
      <w:kern w:val="2"/>
      <w:sz w:val="28"/>
      <w:lang w:val="en-US" w:eastAsia="zh-CN" w:bidi="ar-SA"/>
    </w:rPr>
  </w:style>
  <w:style w:type="paragraph" w:customStyle="1" w:styleId="132">
    <w:name w:val="表文字"/>
    <w:qFormat/>
    <w:uiPriority w:val="0"/>
    <w:rPr>
      <w:rFonts w:ascii="宋体" w:hAnsi="Times New Roman" w:eastAsia="宋体" w:cs="Times New Roman"/>
      <w:kern w:val="2"/>
      <w:lang w:val="en-US" w:eastAsia="zh-CN" w:bidi="ar-SA"/>
    </w:rPr>
  </w:style>
  <w:style w:type="paragraph" w:customStyle="1" w:styleId="13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4">
    <w:name w:val="样式  + 首行缩进:  2 字符"/>
    <w:basedOn w:val="1"/>
    <w:qFormat/>
    <w:uiPriority w:val="0"/>
    <w:pPr>
      <w:adjustRightInd w:val="0"/>
      <w:spacing w:line="360" w:lineRule="auto"/>
      <w:ind w:firstLine="524" w:firstLineChars="200"/>
    </w:pPr>
    <w:rPr>
      <w:rFonts w:hAnsi="宋体"/>
      <w:spacing w:val="11"/>
      <w:kern w:val="2"/>
      <w:sz w:val="21"/>
      <w:szCs w:val="20"/>
    </w:rPr>
  </w:style>
  <w:style w:type="paragraph" w:customStyle="1" w:styleId="135">
    <w:name w:val="文章正文"/>
    <w:basedOn w:val="1"/>
    <w:qFormat/>
    <w:uiPriority w:val="0"/>
    <w:pPr>
      <w:ind w:firstLine="560" w:firstLineChars="200"/>
    </w:pPr>
    <w:rPr>
      <w:rFonts w:ascii="仿宋_GB2312" w:hAnsi="宋体" w:eastAsia="仿宋_GB2312"/>
      <w:color w:val="000000"/>
    </w:rPr>
  </w:style>
  <w:style w:type="paragraph" w:customStyle="1" w:styleId="136">
    <w:name w:val="简单回函地址"/>
    <w:basedOn w:val="1"/>
    <w:qFormat/>
    <w:uiPriority w:val="0"/>
    <w:pPr>
      <w:adjustRightInd w:val="0"/>
      <w:snapToGrid w:val="0"/>
      <w:spacing w:line="360" w:lineRule="auto"/>
    </w:pPr>
    <w:rPr>
      <w:sz w:val="24"/>
    </w:rPr>
  </w:style>
  <w:style w:type="paragraph" w:customStyle="1" w:styleId="13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8">
    <w:name w:val="af"/>
    <w:basedOn w:val="1"/>
    <w:qFormat/>
    <w:uiPriority w:val="0"/>
    <w:pPr>
      <w:widowControl/>
      <w:spacing w:line="300" w:lineRule="atLeast"/>
      <w:jc w:val="left"/>
    </w:pPr>
    <w:rPr>
      <w:rFonts w:ascii="宋体" w:hAnsi="宋体"/>
      <w:kern w:val="0"/>
      <w:sz w:val="18"/>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Char2"/>
    <w:basedOn w:val="1"/>
    <w:qFormat/>
    <w:uiPriority w:val="0"/>
    <w:pPr>
      <w:spacing w:line="240" w:lineRule="atLeast"/>
      <w:ind w:left="420" w:firstLine="420"/>
    </w:pPr>
    <w:rPr>
      <w:kern w:val="0"/>
      <w:sz w:val="21"/>
    </w:rPr>
  </w:style>
  <w:style w:type="paragraph" w:customStyle="1" w:styleId="141">
    <w:name w:val="Char1"/>
    <w:basedOn w:val="1"/>
    <w:qFormat/>
    <w:uiPriority w:val="0"/>
    <w:rPr>
      <w:sz w:val="21"/>
    </w:rPr>
  </w:style>
  <w:style w:type="paragraph" w:customStyle="1" w:styleId="14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Char Char Char"/>
    <w:basedOn w:val="1"/>
    <w:qFormat/>
    <w:uiPriority w:val="0"/>
    <w:rPr>
      <w:rFonts w:ascii="Tahoma" w:hAnsi="Tahoma"/>
      <w:sz w:val="24"/>
    </w:rPr>
  </w:style>
  <w:style w:type="paragraph" w:customStyle="1" w:styleId="144">
    <w:name w:val="表号"/>
    <w:basedOn w:val="1"/>
    <w:qFormat/>
    <w:uiPriority w:val="0"/>
    <w:pPr>
      <w:numPr>
        <w:ilvl w:val="0"/>
        <w:numId w:val="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5">
    <w:name w:val="Char1 Char Char Char1"/>
    <w:basedOn w:val="1"/>
    <w:qFormat/>
    <w:uiPriority w:val="0"/>
    <w:rPr>
      <w:rFonts w:ascii="Tahoma" w:hAnsi="Tahoma"/>
      <w:sz w:val="30"/>
    </w:rPr>
  </w:style>
  <w:style w:type="paragraph" w:customStyle="1" w:styleId="14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7">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8">
    <w:name w:val="表格内文字"/>
    <w:basedOn w:val="32"/>
    <w:qFormat/>
    <w:uiPriority w:val="0"/>
    <w:pPr>
      <w:adjustRightInd w:val="0"/>
    </w:pPr>
    <w:rPr>
      <w:color w:val="000000"/>
      <w:lang w:val="en-GB"/>
    </w:rPr>
  </w:style>
  <w:style w:type="paragraph" w:customStyle="1" w:styleId="14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5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3">
    <w:name w:val="Char"/>
    <w:basedOn w:val="1"/>
    <w:qFormat/>
    <w:uiPriority w:val="0"/>
    <w:pPr>
      <w:spacing w:line="240" w:lineRule="atLeast"/>
      <w:ind w:left="420" w:firstLine="420"/>
    </w:pPr>
    <w:rPr>
      <w:kern w:val="0"/>
      <w:sz w:val="21"/>
    </w:rPr>
  </w:style>
  <w:style w:type="paragraph" w:customStyle="1" w:styleId="154">
    <w:name w:val="首行缩进 1"/>
    <w:basedOn w:val="1"/>
    <w:qFormat/>
    <w:uiPriority w:val="0"/>
    <w:pPr>
      <w:spacing w:after="120" w:line="360" w:lineRule="auto"/>
      <w:ind w:firstLine="200" w:firstLineChars="200"/>
    </w:pPr>
    <w:rPr>
      <w:sz w:val="24"/>
    </w:rPr>
  </w:style>
  <w:style w:type="paragraph" w:customStyle="1" w:styleId="155">
    <w:name w:val="样式1"/>
    <w:basedOn w:val="5"/>
    <w:qFormat/>
    <w:uiPriority w:val="0"/>
    <w:pPr>
      <w:tabs>
        <w:tab w:val="left" w:pos="720"/>
      </w:tabs>
      <w:spacing w:before="500" w:after="260" w:line="560" w:lineRule="atLeast"/>
      <w:ind w:left="420" w:hanging="420"/>
    </w:pPr>
  </w:style>
  <w:style w:type="paragraph" w:customStyle="1" w:styleId="15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7">
    <w:name w:val="标题3——2"/>
    <w:basedOn w:val="2"/>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5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9">
    <w:name w:val="首行缩进"/>
    <w:basedOn w:val="1"/>
    <w:qFormat/>
    <w:uiPriority w:val="0"/>
    <w:pPr>
      <w:numPr>
        <w:ilvl w:val="0"/>
        <w:numId w:val="6"/>
      </w:numPr>
      <w:spacing w:line="360" w:lineRule="auto"/>
    </w:pPr>
    <w:rPr>
      <w:rFonts w:eastAsia="仿宋_GB2312"/>
    </w:rPr>
  </w:style>
  <w:style w:type="paragraph" w:customStyle="1" w:styleId="160">
    <w:name w:val="Char Char Char Char Char Char Char"/>
    <w:basedOn w:val="17"/>
    <w:qFormat/>
    <w:uiPriority w:val="0"/>
    <w:rPr>
      <w:rFonts w:ascii="宋体" w:hAnsi="Tahoma"/>
    </w:rPr>
  </w:style>
  <w:style w:type="paragraph" w:customStyle="1" w:styleId="161">
    <w:name w:val="Char1 Char Char Char"/>
    <w:basedOn w:val="1"/>
    <w:qFormat/>
    <w:uiPriority w:val="0"/>
    <w:rPr>
      <w:rFonts w:ascii="Tahoma" w:hAnsi="Tahoma"/>
      <w:sz w:val="24"/>
    </w:rPr>
  </w:style>
  <w:style w:type="paragraph" w:customStyle="1" w:styleId="162">
    <w:name w:val="样式4"/>
    <w:basedOn w:val="5"/>
    <w:qFormat/>
    <w:uiPriority w:val="0"/>
    <w:pPr>
      <w:adjustRightInd w:val="0"/>
      <w:snapToGrid w:val="0"/>
    </w:pPr>
  </w:style>
  <w:style w:type="paragraph" w:customStyle="1" w:styleId="16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4">
    <w:name w:val="样式 行距: 1.5 倍行距1"/>
    <w:basedOn w:val="1"/>
    <w:qFormat/>
    <w:uiPriority w:val="0"/>
    <w:pPr>
      <w:snapToGrid w:val="0"/>
    </w:pPr>
    <w:rPr>
      <w:sz w:val="21"/>
    </w:rPr>
  </w:style>
  <w:style w:type="paragraph" w:customStyle="1" w:styleId="16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6">
    <w:name w:val="一级条标题"/>
    <w:basedOn w:val="167"/>
    <w:next w:val="168"/>
    <w:qFormat/>
    <w:uiPriority w:val="0"/>
    <w:pPr>
      <w:numPr>
        <w:ilvl w:val="0"/>
        <w:numId w:val="0"/>
      </w:numPr>
      <w:spacing w:beforeLines="0" w:afterLines="0"/>
      <w:ind w:left="525"/>
      <w:outlineLvl w:val="2"/>
    </w:pPr>
    <w:rPr>
      <w:sz w:val="21"/>
    </w:rPr>
  </w:style>
  <w:style w:type="paragraph" w:customStyle="1" w:styleId="167">
    <w:name w:val="章标题"/>
    <w:next w:val="1"/>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0">
    <w:name w:val="Title - Date"/>
    <w:basedOn w:val="55"/>
    <w:next w:val="1"/>
    <w:qFormat/>
    <w:uiPriority w:val="0"/>
    <w:pPr>
      <w:spacing w:before="240" w:after="720"/>
    </w:pPr>
    <w:rPr>
      <w:sz w:val="28"/>
    </w:rPr>
  </w:style>
  <w:style w:type="paragraph" w:customStyle="1" w:styleId="171">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3">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5">
    <w:name w:val="附录3"/>
    <w:basedOn w:val="1"/>
    <w:next w:val="1"/>
    <w:qFormat/>
    <w:uiPriority w:val="0"/>
    <w:pPr>
      <w:tabs>
        <w:tab w:val="left" w:pos="851"/>
      </w:tabs>
      <w:ind w:left="425" w:hanging="425"/>
      <w:outlineLvl w:val="2"/>
    </w:pPr>
    <w:rPr>
      <w:rFonts w:eastAsia="黑体"/>
      <w:b/>
      <w:sz w:val="32"/>
    </w:rPr>
  </w:style>
  <w:style w:type="paragraph" w:customStyle="1" w:styleId="17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78">
    <w:name w:val="正文 + 三号"/>
    <w:basedOn w:val="1"/>
    <w:qFormat/>
    <w:uiPriority w:val="0"/>
    <w:rPr>
      <w:sz w:val="21"/>
    </w:rPr>
  </w:style>
  <w:style w:type="paragraph" w:customStyle="1" w:styleId="17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182">
    <w:name w:val="样式2"/>
    <w:basedOn w:val="5"/>
    <w:qFormat/>
    <w:uiPriority w:val="0"/>
    <w:pPr>
      <w:numPr>
        <w:ilvl w:val="0"/>
        <w:numId w:val="10"/>
      </w:numPr>
      <w:spacing w:before="560" w:line="400" w:lineRule="exact"/>
      <w:jc w:val="center"/>
      <w:outlineLvl w:val="0"/>
    </w:pPr>
    <w:rPr>
      <w:b w:val="0"/>
      <w:sz w:val="44"/>
    </w:rPr>
  </w:style>
  <w:style w:type="paragraph" w:customStyle="1" w:styleId="183">
    <w:name w:val="正文4"/>
    <w:basedOn w:val="1"/>
    <w:qFormat/>
    <w:uiPriority w:val="0"/>
    <w:pPr>
      <w:tabs>
        <w:tab w:val="left" w:pos="1275"/>
      </w:tabs>
      <w:spacing w:before="60" w:after="60" w:line="360" w:lineRule="auto"/>
      <w:ind w:left="820" w:leftChars="400" w:hanging="705"/>
    </w:pPr>
    <w:rPr>
      <w:sz w:val="24"/>
    </w:rPr>
  </w:style>
  <w:style w:type="paragraph" w:customStyle="1" w:styleId="184">
    <w:name w:val="内容标题"/>
    <w:basedOn w:val="17"/>
    <w:qFormat/>
    <w:uiPriority w:val="0"/>
    <w:rPr>
      <w:rFonts w:ascii="Tahoma" w:hAnsi="Tahoma"/>
      <w:sz w:val="24"/>
    </w:rPr>
  </w:style>
  <w:style w:type="paragraph" w:customStyle="1" w:styleId="185">
    <w:name w:val="Char Char Char Char Char Char Char1"/>
    <w:basedOn w:val="1"/>
    <w:qFormat/>
    <w:uiPriority w:val="0"/>
    <w:rPr>
      <w:rFonts w:ascii="Tahoma" w:hAnsi="Tahoma"/>
      <w:sz w:val="24"/>
    </w:rPr>
  </w:style>
  <w:style w:type="paragraph" w:customStyle="1" w:styleId="18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8">
    <w:name w:val="关键词"/>
    <w:basedOn w:val="1"/>
    <w:next w:val="1"/>
    <w:qFormat/>
    <w:uiPriority w:val="0"/>
    <w:pPr>
      <w:spacing w:line="360" w:lineRule="auto"/>
    </w:pPr>
    <w:rPr>
      <w:rFonts w:eastAsia="黑体"/>
      <w:sz w:val="20"/>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9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94">
    <w:name w:val="可研正文"/>
    <w:basedOn w:val="22"/>
    <w:qFormat/>
    <w:uiPriority w:val="0"/>
    <w:pPr>
      <w:adjustRightInd w:val="0"/>
      <w:snapToGrid w:val="0"/>
      <w:spacing w:line="440" w:lineRule="exact"/>
      <w:ind w:firstLine="567"/>
    </w:pPr>
    <w:rPr>
      <w:sz w:val="28"/>
    </w:rPr>
  </w:style>
  <w:style w:type="paragraph" w:customStyle="1" w:styleId="19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9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99">
    <w:name w:val="修订1"/>
    <w:qFormat/>
    <w:uiPriority w:val="0"/>
    <w:rPr>
      <w:rFonts w:ascii="Times New Roman" w:hAnsi="Times New Roman" w:eastAsia="宋体" w:cs="Times New Roman"/>
      <w:kern w:val="2"/>
      <w:sz w:val="21"/>
      <w:lang w:val="en-US" w:eastAsia="zh-CN" w:bidi="ar-SA"/>
    </w:rPr>
  </w:style>
  <w:style w:type="paragraph" w:customStyle="1" w:styleId="200">
    <w:name w:val="标准正文"/>
    <w:basedOn w:val="24"/>
    <w:qFormat/>
    <w:uiPriority w:val="0"/>
    <w:pPr>
      <w:spacing w:before="60" w:after="60" w:line="360" w:lineRule="auto"/>
      <w:ind w:left="0" w:firstLine="482"/>
    </w:pPr>
    <w:rPr>
      <w:rFonts w:ascii="Arial" w:hAnsi="Arial"/>
      <w:sz w:val="24"/>
    </w:rPr>
  </w:style>
  <w:style w:type="paragraph" w:customStyle="1" w:styleId="201">
    <w:name w:val="Style Heading 3h3Heading 3 - oldLevel 3 HeadH3level_3PIM 3se..."/>
    <w:basedOn w:val="2"/>
    <w:qFormat/>
    <w:uiPriority w:val="0"/>
    <w:pPr>
      <w:tabs>
        <w:tab w:val="left" w:pos="709"/>
        <w:tab w:val="left" w:pos="1620"/>
      </w:tabs>
      <w:ind w:left="1620" w:hanging="360"/>
    </w:pPr>
  </w:style>
  <w:style w:type="paragraph" w:customStyle="1" w:styleId="202">
    <w:name w:val="图片文字"/>
    <w:basedOn w:val="1"/>
    <w:qFormat/>
    <w:uiPriority w:val="0"/>
    <w:pPr>
      <w:spacing w:line="240" w:lineRule="atLeast"/>
      <w:jc w:val="center"/>
    </w:pPr>
    <w:rPr>
      <w:sz w:val="21"/>
    </w:rPr>
  </w:style>
  <w:style w:type="paragraph" w:customStyle="1" w:styleId="20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4">
    <w:name w:val="编号正文"/>
    <w:basedOn w:val="176"/>
    <w:qFormat/>
    <w:uiPriority w:val="0"/>
    <w:pPr>
      <w:snapToGrid/>
      <w:spacing w:line="360" w:lineRule="auto"/>
      <w:ind w:left="1407" w:hanging="1047"/>
      <w:jc w:val="left"/>
    </w:pPr>
    <w:rPr>
      <w:rFonts w:eastAsia="仿宋_GB2312"/>
    </w:rPr>
  </w:style>
  <w:style w:type="paragraph" w:customStyle="1" w:styleId="205">
    <w:name w:val="Note"/>
    <w:basedOn w:val="1"/>
    <w:qFormat/>
    <w:uiPriority w:val="0"/>
    <w:pPr>
      <w:pBdr>
        <w:top w:val="single" w:color="auto" w:sz="12" w:space="3"/>
        <w:bottom w:val="single" w:color="auto" w:sz="12" w:space="3"/>
      </w:pBdr>
      <w:spacing w:line="360" w:lineRule="auto"/>
    </w:pPr>
    <w:rPr>
      <w:sz w:val="24"/>
    </w:rPr>
  </w:style>
  <w:style w:type="paragraph" w:customStyle="1" w:styleId="206">
    <w:name w:val="二级条标题"/>
    <w:basedOn w:val="166"/>
    <w:next w:val="168"/>
    <w:qFormat/>
    <w:uiPriority w:val="0"/>
    <w:pPr>
      <w:ind w:left="840"/>
      <w:outlineLvl w:val="3"/>
    </w:pPr>
  </w:style>
  <w:style w:type="paragraph" w:customStyle="1" w:styleId="207">
    <w:name w:val="表头文本"/>
    <w:qFormat/>
    <w:uiPriority w:val="0"/>
    <w:pPr>
      <w:jc w:val="center"/>
    </w:pPr>
    <w:rPr>
      <w:rFonts w:ascii="Arial" w:hAnsi="Arial" w:eastAsia="宋体" w:cs="Times New Roman"/>
      <w:b/>
      <w:sz w:val="21"/>
      <w:lang w:val="en-US" w:eastAsia="zh-CN" w:bidi="ar-SA"/>
    </w:rPr>
  </w:style>
  <w:style w:type="paragraph" w:customStyle="1" w:styleId="208">
    <w:name w:val="默认段落字体 Para Char Char Char Char Char Char Char Char Char1 Char Char Char Char"/>
    <w:basedOn w:val="1"/>
    <w:qFormat/>
    <w:uiPriority w:val="0"/>
    <w:rPr>
      <w:rFonts w:ascii="Tahoma" w:hAnsi="Tahoma"/>
      <w:sz w:val="24"/>
    </w:rPr>
  </w:style>
  <w:style w:type="paragraph" w:customStyle="1" w:styleId="20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1"/>
    <w:basedOn w:val="1"/>
    <w:next w:val="32"/>
    <w:qFormat/>
    <w:uiPriority w:val="0"/>
    <w:rPr>
      <w:rFonts w:ascii="宋体" w:hAnsi="Courier New"/>
      <w:sz w:val="21"/>
    </w:rPr>
  </w:style>
  <w:style w:type="paragraph" w:customStyle="1" w:styleId="213">
    <w:name w:val="Char Char1 Char"/>
    <w:basedOn w:val="1"/>
    <w:qFormat/>
    <w:uiPriority w:val="0"/>
    <w:rPr>
      <w:rFonts w:ascii="Tahoma" w:hAnsi="Tahoma"/>
      <w:sz w:val="24"/>
      <w:szCs w:val="24"/>
    </w:rPr>
  </w:style>
  <w:style w:type="paragraph" w:customStyle="1" w:styleId="214">
    <w:name w:val="默认段落字体 Para Char Char Char Char Char Char Char"/>
    <w:basedOn w:val="1"/>
    <w:qFormat/>
    <w:uiPriority w:val="0"/>
    <w:rPr>
      <w:rFonts w:ascii="Tahoma" w:hAnsi="Tahoma"/>
      <w:sz w:val="24"/>
    </w:rPr>
  </w:style>
  <w:style w:type="paragraph" w:customStyle="1" w:styleId="21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1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217">
    <w:name w:val="表头样式"/>
    <w:basedOn w:val="1"/>
    <w:qFormat/>
    <w:uiPriority w:val="0"/>
    <w:pPr>
      <w:autoSpaceDE w:val="0"/>
      <w:autoSpaceDN w:val="0"/>
      <w:adjustRightInd w:val="0"/>
      <w:spacing w:line="360" w:lineRule="auto"/>
      <w:jc w:val="left"/>
    </w:pPr>
    <w:rPr>
      <w:b/>
      <w:kern w:val="0"/>
      <w:sz w:val="21"/>
    </w:rPr>
  </w:style>
  <w:style w:type="paragraph" w:customStyle="1" w:styleId="21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Char2 Char Char Char Char Char Char"/>
    <w:basedOn w:val="1"/>
    <w:qFormat/>
    <w:uiPriority w:val="0"/>
    <w:rPr>
      <w:rFonts w:ascii="仿宋_GB2312"/>
      <w:b/>
      <w:sz w:val="30"/>
    </w:rPr>
  </w:style>
  <w:style w:type="paragraph" w:customStyle="1" w:styleId="221">
    <w:name w:val="Table Contents"/>
    <w:basedOn w:val="22"/>
    <w:qFormat/>
    <w:uiPriority w:val="0"/>
    <w:pPr>
      <w:suppressAutoHyphens/>
      <w:jc w:val="left"/>
    </w:pPr>
    <w:rPr>
      <w:rFonts w:ascii="Times New Roman" w:eastAsia="Times New Roman"/>
      <w:kern w:val="0"/>
      <w:sz w:val="24"/>
    </w:rPr>
  </w:style>
  <w:style w:type="paragraph" w:customStyle="1" w:styleId="222">
    <w:name w:val="正文（首行不缩进）"/>
    <w:basedOn w:val="1"/>
    <w:qFormat/>
    <w:uiPriority w:val="0"/>
    <w:pPr>
      <w:autoSpaceDE w:val="0"/>
      <w:autoSpaceDN w:val="0"/>
      <w:adjustRightInd w:val="0"/>
      <w:spacing w:line="360" w:lineRule="auto"/>
      <w:jc w:val="left"/>
    </w:pPr>
    <w:rPr>
      <w:kern w:val="0"/>
      <w:sz w:val="21"/>
    </w:rPr>
  </w:style>
  <w:style w:type="paragraph" w:customStyle="1" w:styleId="22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5">
    <w:name w:val="正文字缩2字"/>
    <w:basedOn w:val="1"/>
    <w:qFormat/>
    <w:uiPriority w:val="0"/>
    <w:pPr>
      <w:spacing w:before="60" w:after="60" w:line="360" w:lineRule="auto"/>
      <w:ind w:left="200" w:leftChars="200" w:firstLine="200" w:firstLineChars="200"/>
    </w:pPr>
    <w:rPr>
      <w:sz w:val="24"/>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正文文本缩进 21"/>
    <w:basedOn w:val="1"/>
    <w:qFormat/>
    <w:uiPriority w:val="0"/>
    <w:pPr>
      <w:adjustRightInd w:val="0"/>
      <w:spacing w:before="120"/>
      <w:ind w:firstLine="420"/>
      <w:textAlignment w:val="baseline"/>
    </w:pPr>
    <w:rPr>
      <w:sz w:val="24"/>
    </w:rPr>
  </w:style>
  <w:style w:type="paragraph" w:customStyle="1" w:styleId="228">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Char Char Char Char Char"/>
    <w:basedOn w:val="1"/>
    <w:qFormat/>
    <w:uiPriority w:val="0"/>
    <w:pPr>
      <w:tabs>
        <w:tab w:val="left" w:pos="425"/>
      </w:tabs>
      <w:ind w:left="1620" w:hanging="360"/>
    </w:pPr>
    <w:rPr>
      <w:rFonts w:ascii="Tahoma" w:hAnsi="Tahoma"/>
      <w:sz w:val="24"/>
    </w:rPr>
  </w:style>
  <w:style w:type="paragraph" w:customStyle="1" w:styleId="23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32">
    <w:name w:val="样式 正文缩进正文（首行缩进两字）表正文正文非缩进特点标题4段1 + 首行缩进:  2 字符"/>
    <w:basedOn w:val="15"/>
    <w:qFormat/>
    <w:uiPriority w:val="0"/>
    <w:pPr>
      <w:ind w:firstLine="480" w:firstLineChars="200"/>
    </w:p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5">
    <w:name w:val="正文1"/>
    <w:basedOn w:val="1"/>
    <w:qFormat/>
    <w:uiPriority w:val="0"/>
    <w:pPr>
      <w:spacing w:line="300" w:lineRule="auto"/>
      <w:ind w:firstLine="200" w:firstLineChars="200"/>
    </w:pPr>
    <w:rPr>
      <w:sz w:val="24"/>
    </w:rPr>
  </w:style>
  <w:style w:type="paragraph" w:customStyle="1" w:styleId="236">
    <w:name w:val="列表项目"/>
    <w:basedOn w:val="1"/>
    <w:qFormat/>
    <w:uiPriority w:val="0"/>
    <w:pPr>
      <w:tabs>
        <w:tab w:val="left" w:pos="420"/>
      </w:tabs>
      <w:spacing w:line="288" w:lineRule="auto"/>
      <w:ind w:left="840" w:leftChars="200" w:hanging="420" w:hangingChars="200"/>
    </w:pPr>
    <w:rPr>
      <w:sz w:val="21"/>
    </w:rPr>
  </w:style>
  <w:style w:type="paragraph" w:customStyle="1" w:styleId="237">
    <w:name w:val="样式 首行缩进:  0.74 厘米"/>
    <w:basedOn w:val="1"/>
    <w:qFormat/>
    <w:uiPriority w:val="0"/>
    <w:pPr>
      <w:spacing w:line="360" w:lineRule="auto"/>
      <w:ind w:firstLine="420"/>
    </w:pPr>
    <w:rPr>
      <w:sz w:val="24"/>
    </w:rPr>
  </w:style>
  <w:style w:type="paragraph" w:customStyle="1" w:styleId="2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9">
    <w:name w:val="Char Char Char Char Char Char Char Char Char Char Char Char Char Char Char Char"/>
    <w:basedOn w:val="1"/>
    <w:qFormat/>
    <w:uiPriority w:val="0"/>
    <w:pPr>
      <w:tabs>
        <w:tab w:val="left" w:pos="360"/>
      </w:tabs>
    </w:pPr>
    <w:rPr>
      <w:sz w:val="24"/>
    </w:rPr>
  </w:style>
  <w:style w:type="paragraph" w:customStyle="1" w:styleId="24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1">
    <w:name w:val="文本1"/>
    <w:basedOn w:val="1"/>
    <w:qFormat/>
    <w:uiPriority w:val="0"/>
    <w:pPr>
      <w:adjustRightInd w:val="0"/>
      <w:spacing w:line="312" w:lineRule="atLeast"/>
      <w:jc w:val="center"/>
      <w:textAlignment w:val="baseline"/>
    </w:pPr>
    <w:rPr>
      <w:kern w:val="0"/>
      <w:sz w:val="18"/>
    </w:rPr>
  </w:style>
  <w:style w:type="paragraph" w:customStyle="1" w:styleId="24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3">
    <w:name w:val="摘要"/>
    <w:basedOn w:val="1"/>
    <w:next w:val="4"/>
    <w:qFormat/>
    <w:uiPriority w:val="0"/>
    <w:pPr>
      <w:spacing w:line="360" w:lineRule="auto"/>
    </w:pPr>
    <w:rPr>
      <w:rFonts w:eastAsia="黑体"/>
      <w:sz w:val="20"/>
    </w:rPr>
  </w:style>
  <w:style w:type="paragraph" w:customStyle="1" w:styleId="244">
    <w:name w:val="1.正文"/>
    <w:basedOn w:val="1"/>
    <w:qFormat/>
    <w:uiPriority w:val="0"/>
    <w:pPr>
      <w:spacing w:line="360" w:lineRule="auto"/>
      <w:ind w:left="540" w:leftChars="225" w:firstLine="540" w:firstLineChars="225"/>
    </w:pPr>
    <w:rPr>
      <w:sz w:val="24"/>
    </w:rPr>
  </w:style>
  <w:style w:type="paragraph" w:customStyle="1" w:styleId="245">
    <w:name w:val="列表段落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15667</Words>
  <Characters>16072</Characters>
  <Lines>127</Lines>
  <Paragraphs>35</Paragraphs>
  <TotalTime>13</TotalTime>
  <ScaleCrop>false</ScaleCrop>
  <LinksUpToDate>false</LinksUpToDate>
  <CharactersWithSpaces>17768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2023-04-24T03:59:00Z</dcterms:created>
  <dc:creator>周媛媛</dc:creator>
  <cp:lastModifiedBy>fyy</cp:lastModifiedBy>
  <cp:lastPrinted>2023-09-12T02:08:00Z</cp:lastPrinted>
  <dcterms:modified xsi:type="dcterms:W3CDTF">2024-12-04T04:35:47Z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D11CE62E71E243DFAA3B270BE6741F36</vt:lpwstr>
  </property>
</Properties>
</file>