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救护车采购阳光推介会邀请函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我院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近期拟采购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一辆监护型救护车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，欢迎具有合格资质且有良好信誉和售后服务能力的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来院报名参与产品推介会。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推介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设备明细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251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采购设备</w:t>
            </w:r>
          </w:p>
        </w:tc>
        <w:tc>
          <w:tcPr>
            <w:tcW w:w="251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单位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监护型救护车</w:t>
            </w:r>
          </w:p>
        </w:tc>
        <w:tc>
          <w:tcPr>
            <w:tcW w:w="251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台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推荐书内容包括但不限于以下材料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推荐书封面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应包含：拟推荐产品名称、规格型号、生产厂家、联系人及电话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；按照以下条款编制目录及页码并加盖报名单位公章。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报价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产品的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介绍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包含品名、品牌、规格型号、产品报价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、质保期、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售后服务等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（要求：拟推荐的产品应为生产厂家同系列产品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最新型号）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综合总价限价：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30万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元（包含：货物费、运输费、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税费、涂装费、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安装调试费等所有费用，不另计费）。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562" w:firstLineChars="200"/>
        <w:textAlignment w:val="baseline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28"/>
          <w:szCs w:val="28"/>
          <w:lang w:val="en-US" w:eastAsia="zh-CN" w:bidi="ar-SA"/>
        </w:rPr>
        <w:t>资质：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证明文件，产品经销商需提供代理资质证明及授权书。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设备档次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：该设备现有几个档次？各设备档次在结构、功能、技术、配置和预算价上有什么区别？拟投标产品属于哪个档次？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产品技术参数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：详述产品的结构组成，并对每个结构组成的主要技术性能和指标详细说明。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28"/>
          <w:szCs w:val="28"/>
          <w:lang w:val="en-US" w:eastAsia="zh-CN"/>
        </w:rPr>
        <w:t>专有参数</w:t>
      </w:r>
      <w:r>
        <w:rPr>
          <w:rFonts w:hint="default" w:ascii="Times New Roman" w:hAnsi="Times New Roman" w:eastAsia="方正仿宋_GBK" w:cs="Times New Roman"/>
          <w:color w:val="FF0000"/>
          <w:sz w:val="28"/>
          <w:szCs w:val="28"/>
          <w:lang w:val="en-US" w:eastAsia="zh-CN"/>
        </w:rPr>
        <w:t>用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28"/>
          <w:szCs w:val="28"/>
          <w:lang w:val="en-US" w:eastAsia="zh-CN"/>
        </w:rPr>
        <w:t>红</w:t>
      </w:r>
      <w:r>
        <w:rPr>
          <w:rFonts w:hint="default" w:ascii="Times New Roman" w:hAnsi="Times New Roman" w:eastAsia="方正仿宋_GBK" w:cs="Times New Roman"/>
          <w:color w:val="FF0000"/>
          <w:sz w:val="28"/>
          <w:szCs w:val="28"/>
          <w:lang w:val="en-US" w:eastAsia="zh-CN"/>
        </w:rPr>
        <w:t>色标注。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系统配置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：产品配置明细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产品比较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：目前市场上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对标的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同类、同档次产品的品牌及型号有哪些？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各自的优缺点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EXCEL表格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安装条件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：详述设备安装运行所需的环境、条件、附属配套设施及水电管路等有无特殊安装场地要求？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主要用户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：国内主要用户名单，重点提供重庆市内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二级以上公立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医院的中标通知书或合同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至少2份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，同时要提供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配置清单及质保年限说明。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时间要求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：介绍时间控制在10分钟以内。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人员要求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：须由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委派产品专员进行产品介绍。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44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其他要求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请各产品介绍厂家按照上述内容准备产品介绍PPT，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不限于上述内容，但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对拟介绍产品的厂家背景及实力等情况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无需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过多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介绍。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推介会现场，各公司须提供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份纸质版推荐书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（其中一份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推荐方式：集中召开产品推介会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报名截止时间：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2025年4月1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日12时00分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报名方式：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将单位营业执照复印件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报价人身份证复印件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技术参数扫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描件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均加盖公章后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打包成压缩文件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和PPT、附件1一并发送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邮件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命名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：市七院救护车推介会+公司名称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在规定时间内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发送邮箱1367134201@qq.com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已经参加了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3月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市场调研的供应商如推荐产品内容无更改，只需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邮箱发送PPT和附件1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产品推介会时间、地点：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时间：2025年4月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日（周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）14：30-16：30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地点：重庆市第七人民医院行政楼（10号楼）3楼会议室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112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（地址：重庆市巴南区李家沱工联一村1号）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联系人及联系方式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：王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老师   （023）62859574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-5" w:leftChars="0" w:firstLine="425" w:firstLineChars="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特别声明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会议性质：本次会议为市场调研，不构成任何采购承诺，后续采购以官方公告为准。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合规要求：禁止私下接触医院工作人员，违者取消参与资格。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期待您的参与，共筑阳光采购！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附件1.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重庆市第七人民医院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wordWrap w:val="0"/>
        <w:topLinePunct w:val="0"/>
        <w:bidi w:val="0"/>
        <w:adjustRightInd/>
        <w:snapToGrid/>
        <w:spacing w:beforeAutospacing="0" w:afterAutospacing="0" w:line="440" w:lineRule="exact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2025年4月2日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40" w:right="1196" w:bottom="1440" w:left="119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重庆市第七人民医院救护车阳光推介会参会回执</w:t>
      </w:r>
    </w:p>
    <w:tbl>
      <w:tblPr>
        <w:tblStyle w:val="7"/>
        <w:tblpPr w:leftFromText="180" w:rightFromText="180" w:vertAnchor="text" w:horzAnchor="page" w:tblpX="3097" w:tblpY="1060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6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参会单位名称：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6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6696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164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696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164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96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164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报价（万元）</w:t>
            </w:r>
          </w:p>
        </w:tc>
        <w:tc>
          <w:tcPr>
            <w:tcW w:w="6696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D4D25"/>
    <w:multiLevelType w:val="singleLevel"/>
    <w:tmpl w:val="84BD4D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3E845A"/>
    <w:multiLevelType w:val="singleLevel"/>
    <w:tmpl w:val="3C3E845A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2">
    <w:nsid w:val="52448D7B"/>
    <w:multiLevelType w:val="singleLevel"/>
    <w:tmpl w:val="52448D7B"/>
    <w:lvl w:ilvl="0" w:tentative="0">
      <w:start w:val="1"/>
      <w:numFmt w:val="chineseCounting"/>
      <w:suff w:val="nothing"/>
      <w:lvlText w:val="%1、"/>
      <w:lvlJc w:val="left"/>
      <w:pPr>
        <w:ind w:left="-5" w:firstLine="420"/>
      </w:pPr>
      <w:rPr>
        <w:rFonts w:hint="eastAsia" w:ascii="方正黑体_GBK" w:hAnsi="方正黑体_GBK" w:eastAsia="方正黑体_GBK" w:cs="方正黑体_GBK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6D34"/>
    <w:rsid w:val="016A4BCE"/>
    <w:rsid w:val="0B5614EA"/>
    <w:rsid w:val="0C380417"/>
    <w:rsid w:val="0CEC5D9F"/>
    <w:rsid w:val="11A655A6"/>
    <w:rsid w:val="138143E7"/>
    <w:rsid w:val="13D24BB8"/>
    <w:rsid w:val="143E6892"/>
    <w:rsid w:val="1CC53F8C"/>
    <w:rsid w:val="1D161B1F"/>
    <w:rsid w:val="22E15416"/>
    <w:rsid w:val="2310538B"/>
    <w:rsid w:val="26DE3AC1"/>
    <w:rsid w:val="2F694109"/>
    <w:rsid w:val="2FBB1C8C"/>
    <w:rsid w:val="3DA768C8"/>
    <w:rsid w:val="3DD02C24"/>
    <w:rsid w:val="41CA1039"/>
    <w:rsid w:val="46781776"/>
    <w:rsid w:val="4B7B62E5"/>
    <w:rsid w:val="4DB81F09"/>
    <w:rsid w:val="54F91BF6"/>
    <w:rsid w:val="58CE4719"/>
    <w:rsid w:val="599D5DA7"/>
    <w:rsid w:val="5A450C50"/>
    <w:rsid w:val="5C28250C"/>
    <w:rsid w:val="5C59247F"/>
    <w:rsid w:val="5DC43F85"/>
    <w:rsid w:val="61AB3503"/>
    <w:rsid w:val="64B210A4"/>
    <w:rsid w:val="662E2FF5"/>
    <w:rsid w:val="69BA64B9"/>
    <w:rsid w:val="6B5A1152"/>
    <w:rsid w:val="6C52006B"/>
    <w:rsid w:val="6E181CD4"/>
    <w:rsid w:val="700A6824"/>
    <w:rsid w:val="70200873"/>
    <w:rsid w:val="71B73B78"/>
    <w:rsid w:val="71DF53B0"/>
    <w:rsid w:val="723363E6"/>
    <w:rsid w:val="763559BC"/>
    <w:rsid w:val="76CF6D34"/>
    <w:rsid w:val="77E54B85"/>
    <w:rsid w:val="79FA296D"/>
    <w:rsid w:val="7A9039BE"/>
    <w:rsid w:val="7AED0E1E"/>
    <w:rsid w:val="7D4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440" w:lineRule="atLeast"/>
      <w:ind w:firstLine="200" w:firstLineChars="200"/>
      <w:textAlignment w:val="baseline"/>
    </w:pPr>
    <w:rPr>
      <w:rFonts w:eastAsia="仿宋_GB2312"/>
      <w:kern w:val="0"/>
      <w:sz w:val="28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2025-04-02T01:50:00Z</dcterms:created>
  <dc:creator>Administrator</dc:creator>
  <cp:lastModifiedBy>Administrator</cp:lastModifiedBy>
  <dcterms:modified xsi:type="dcterms:W3CDTF">2025-04-02T08:54:38Z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