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资料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default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整体报价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45000.00元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numId w:val="0"/>
        </w:numP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28"/>
          <w:highlight w:val="none"/>
          <w:lang w:val="en-US" w:eastAsia="zh-CN" w:bidi="ar-SA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8"/>
          <w:highlight w:val="none"/>
          <w:lang w:val="en-US" w:eastAsia="zh-CN" w:bidi="ar-SA"/>
        </w:rPr>
        <w:t>明细报价：</w:t>
      </w:r>
    </w:p>
    <w:p>
      <w:pPr>
        <w:pStyle w:val="2"/>
        <w:rPr>
          <w:rFonts w:hint="eastAsia" w:eastAsia="宋体"/>
          <w:lang w:eastAsia="zh-CN"/>
        </w:rPr>
      </w:pPr>
    </w:p>
    <w:tbl>
      <w:tblPr>
        <w:tblpPr w:leftFromText="180" w:rightFromText="180" w:vertAnchor="text" w:horzAnchor="page" w:tblpX="1125" w:tblpY="318"/>
        <w:tblOverlap w:val="never"/>
        <w:tblW w:w="145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3045"/>
        <w:gridCol w:w="1680"/>
        <w:gridCol w:w="1590"/>
        <w:gridCol w:w="1725"/>
        <w:gridCol w:w="1515"/>
        <w:gridCol w:w="151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重庆市第七人民医院电器类零星维修项目询价表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4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检修费指的是此次维修未更换配件，供应商填写一次性服务费，其余项目的报价为包含了更换配件的包干价。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  <w:t>备注一栏需标明维修后的质保期；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如供应商还有其他补充项目和说明可以在表格内进行补充和备注。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其余未尽项目后续在合同内进行完善。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一、空调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1.5P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5-10P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拆机+装机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铜管按实际用量实收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补加氟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全加氟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压机电容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风机电容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压缩机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通用电脑板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铜管查漏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内机电路板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外机电路板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四通阀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二、液晶电视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电源板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电脑板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背光灯带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花屏维修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检修费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三、冰箱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生活冰箱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单门冰箱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阴凉柜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药品柜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压缩机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启动器+保护器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温度控制器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内漏更换铜管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散热器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检修费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四、其他新增项目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default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家电维修相关资质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9D361"/>
    <w:multiLevelType w:val="singleLevel"/>
    <w:tmpl w:val="86C9D3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CF56F12"/>
    <w:rsid w:val="25C841D1"/>
    <w:rsid w:val="620C0C09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2025-05-06T06:38:31Z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