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rPr>
      </w:pPr>
      <w:r>
        <w:rPr>
          <w:rFonts w:hint="eastAsia" w:ascii="方正黑体_GBK" w:hAnsi="方正黑体_GBK" w:eastAsia="方正黑体_GBK" w:cs="方正黑体_GBK"/>
          <w:bCs/>
          <w:kern w:val="0"/>
          <w:sz w:val="32"/>
          <w:szCs w:val="32"/>
        </w:rPr>
        <w:t>附件</w:t>
      </w:r>
      <w:bookmarkStart w:id="0" w:name="_GoBack"/>
      <w:bookmarkEnd w:id="0"/>
    </w:p>
    <w:p>
      <w:pPr>
        <w:widowControl/>
        <w:numPr>
          <w:ilvl w:val="0"/>
          <w:numId w:val="0"/>
        </w:numPr>
        <w:spacing w:line="340" w:lineRule="exact"/>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技术参数</w:t>
      </w:r>
    </w:p>
    <w:p>
      <w:pPr>
        <w:pStyle w:val="2"/>
        <w:rPr>
          <w:rFonts w:hint="eastAsia"/>
          <w:lang w:eastAsia="zh-CN"/>
        </w:rPr>
      </w:pP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1.包括对接公共服务平台进行电子票据报销状态与信息查询完成对于票据锁定阶段和已报销的电子票据不允许冲红（防止报销后，再次冲红票据）</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2.电子票据数据规范适配升级合《财政电子票据数据规范》最新标准，统一适配升级开票单位电子票据开具接口，包括签名原文的封装，上报开具等，</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3.接口改造联调</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4.新增医院单位的记账登记、撤销登记功能，以及上线培训等工作。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bCs/>
          <w:i w:val="0"/>
          <w:iCs w:val="0"/>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32"/>
          <w:szCs w:val="32"/>
          <w:lang w:val="en-US" w:eastAsia="zh-CN"/>
          <w14:textFill>
            <w14:solidFill>
              <w14:schemeClr w14:val="tx1"/>
            </w14:solidFill>
          </w14:textFill>
        </w:rPr>
        <w:t>商务要求：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升级验收合格后一次性支付项目款项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56228"/>
    <w:rsid w:val="04EE3BAD"/>
    <w:rsid w:val="0FCE0038"/>
    <w:rsid w:val="10A27D57"/>
    <w:rsid w:val="1A2F083D"/>
    <w:rsid w:val="38822AC1"/>
    <w:rsid w:val="5F083D1A"/>
    <w:rsid w:val="7677600D"/>
    <w:rsid w:val="7D20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99"/>
    <w:rPr>
      <w:rFonts w:ascii="Helvetica" w:hAnsi="Helvetica" w:eastAsia="宋体"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Words>
  <Characters>176</Characters>
  <Lines>0</Lines>
  <Paragraphs>0</Paragraphs>
  <TotalTime>1</TotalTime>
  <ScaleCrop>false</ScaleCrop>
  <LinksUpToDate>false</LinksUpToDate>
  <CharactersWithSpaces>269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2025-01-10T02:34:00Z</dcterms:created>
  <dc:creator>Administrator</dc:creator>
  <cp:lastModifiedBy>fyy</cp:lastModifiedBy>
  <dcterms:modified xsi:type="dcterms:W3CDTF">2026-05-27T02:05:15Z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eyJoZGlkIjoiMzVlNzExNTZiMTFlOGQ2OGFmOWIyYWQ3Mzc5ZThjM2YifQ==</vt:lpwstr>
  </property>
  <property fmtid="{D5CDD505-2E9C-101B-9397-08002B2CF9AE}" pid="4" name="ICV">
    <vt:lpwstr>96FEE4CB0B9242CEB1397911BCD65B6F_12</vt:lpwstr>
  </property>
</Properties>
</file>